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C203B">
      <w:pPr>
        <w:spacing w:line="600" w:lineRule="exact"/>
        <w:jc w:val="left"/>
        <w:outlineLvl w:val="0"/>
        <w:rPr>
          <w:rFonts w:hint="eastAsia" w:ascii="黑体" w:hAnsi="黑体" w:eastAsia="黑体"/>
          <w:sz w:val="32"/>
          <w:szCs w:val="32"/>
        </w:rPr>
      </w:pPr>
      <w:r>
        <w:rPr>
          <w:rFonts w:hint="eastAsia" w:ascii="仿宋_GB2312" w:eastAsia="仿宋_GB2312"/>
          <w:sz w:val="32"/>
          <w:szCs w:val="32"/>
        </w:rPr>
        <w:t>附件</w:t>
      </w:r>
    </w:p>
    <w:p w14:paraId="428D37CC">
      <w:pPr>
        <w:spacing w:line="600" w:lineRule="exact"/>
        <w:jc w:val="center"/>
        <w:outlineLvl w:val="0"/>
        <w:rPr>
          <w:rFonts w:eastAsia="方正小标宋简体"/>
          <w:kern w:val="0"/>
          <w:sz w:val="44"/>
          <w:szCs w:val="44"/>
        </w:rPr>
      </w:pPr>
    </w:p>
    <w:p w14:paraId="3EA26813">
      <w:pPr>
        <w:spacing w:line="600" w:lineRule="exact"/>
        <w:jc w:val="center"/>
        <w:outlineLvl w:val="0"/>
        <w:rPr>
          <w:rFonts w:eastAsia="方正小标宋简体"/>
          <w:kern w:val="0"/>
          <w:sz w:val="44"/>
          <w:szCs w:val="44"/>
        </w:rPr>
      </w:pPr>
      <w:bookmarkStart w:id="0" w:name="_GoBack"/>
      <w:r>
        <w:rPr>
          <w:rFonts w:eastAsia="方正小标宋简体"/>
          <w:kern w:val="0"/>
          <w:sz w:val="44"/>
          <w:szCs w:val="44"/>
        </w:rPr>
        <w:t>2026</w:t>
      </w:r>
      <w:r>
        <w:rPr>
          <w:rFonts w:hint="eastAsia" w:ascii="方正小标宋简体" w:eastAsia="方正小标宋简体"/>
          <w:kern w:val="0"/>
          <w:sz w:val="44"/>
          <w:szCs w:val="44"/>
        </w:rPr>
        <w:t>年天津市知识产权资助项目征集指南</w:t>
      </w:r>
    </w:p>
    <w:bookmarkEnd w:id="0"/>
    <w:p w14:paraId="777F6802">
      <w:pPr>
        <w:spacing w:line="600" w:lineRule="exact"/>
        <w:jc w:val="center"/>
        <w:outlineLvl w:val="0"/>
        <w:rPr>
          <w:rFonts w:eastAsia="华文中宋"/>
          <w:kern w:val="0"/>
          <w:sz w:val="36"/>
          <w:szCs w:val="36"/>
        </w:rPr>
      </w:pPr>
    </w:p>
    <w:p w14:paraId="6DC5FD06">
      <w:pPr>
        <w:spacing w:line="600" w:lineRule="exact"/>
        <w:jc w:val="center"/>
        <w:outlineLvl w:val="0"/>
        <w:rPr>
          <w:rFonts w:eastAsia="华文中宋"/>
          <w:kern w:val="0"/>
          <w:sz w:val="36"/>
          <w:szCs w:val="36"/>
        </w:rPr>
      </w:pPr>
      <w:r>
        <w:rPr>
          <w:rFonts w:hint="eastAsia" w:ascii="华文中宋" w:eastAsia="华文中宋"/>
          <w:kern w:val="0"/>
          <w:sz w:val="36"/>
          <w:szCs w:val="36"/>
        </w:rPr>
        <w:t>第一部分：项目征集说明</w:t>
      </w:r>
    </w:p>
    <w:p w14:paraId="5F88C963">
      <w:pPr>
        <w:spacing w:line="600" w:lineRule="exact"/>
        <w:jc w:val="center"/>
        <w:rPr>
          <w:rFonts w:eastAsia="华文中宋"/>
          <w:kern w:val="0"/>
          <w:sz w:val="44"/>
          <w:szCs w:val="44"/>
        </w:rPr>
      </w:pPr>
    </w:p>
    <w:p w14:paraId="1DA2BEB2">
      <w:pPr>
        <w:spacing w:line="600" w:lineRule="exact"/>
        <w:ind w:firstLine="640" w:firstLineChars="200"/>
        <w:rPr>
          <w:rFonts w:eastAsia="仿宋_GB2312"/>
          <w:sz w:val="32"/>
          <w:szCs w:val="32"/>
        </w:rPr>
      </w:pPr>
      <w:r>
        <w:rPr>
          <w:rFonts w:hint="eastAsia" w:ascii="仿宋_GB2312" w:eastAsia="仿宋_GB2312"/>
          <w:sz w:val="32"/>
          <w:szCs w:val="32"/>
        </w:rPr>
        <w:t>为深入贯彻习近平总书记视察天津重要讲话和关于知识产权工作的重要指示论述精神，落实市委市政府工作要求，紧密结合我市高质量发展</w:t>
      </w:r>
      <w:r>
        <w:rPr>
          <w:rFonts w:eastAsia="仿宋_GB2312"/>
          <w:sz w:val="32"/>
          <w:szCs w:val="32"/>
        </w:rPr>
        <w:t>“</w:t>
      </w:r>
      <w:r>
        <w:rPr>
          <w:rFonts w:hint="eastAsia" w:ascii="仿宋_GB2312" w:eastAsia="仿宋_GB2312"/>
          <w:sz w:val="32"/>
          <w:szCs w:val="32"/>
        </w:rPr>
        <w:t>十项行动</w:t>
      </w:r>
      <w:r>
        <w:rPr>
          <w:rFonts w:eastAsia="仿宋_GB2312"/>
          <w:sz w:val="32"/>
          <w:szCs w:val="32"/>
        </w:rPr>
        <w:t>”“</w:t>
      </w:r>
      <w:r>
        <w:rPr>
          <w:rFonts w:hint="eastAsia" w:ascii="仿宋_GB2312" w:eastAsia="仿宋_GB2312"/>
          <w:sz w:val="32"/>
          <w:szCs w:val="32"/>
        </w:rPr>
        <w:t>三新</w:t>
      </w:r>
      <w:r>
        <w:rPr>
          <w:rFonts w:eastAsia="仿宋_GB2312"/>
          <w:sz w:val="32"/>
          <w:szCs w:val="32"/>
        </w:rPr>
        <w:t>”“</w:t>
      </w:r>
      <w:r>
        <w:rPr>
          <w:rFonts w:hint="eastAsia" w:ascii="仿宋_GB2312" w:eastAsia="仿宋_GB2312"/>
          <w:sz w:val="32"/>
          <w:szCs w:val="32"/>
        </w:rPr>
        <w:t>三量</w:t>
      </w:r>
      <w:r>
        <w:rPr>
          <w:rFonts w:eastAsia="仿宋_GB2312"/>
          <w:sz w:val="32"/>
          <w:szCs w:val="32"/>
        </w:rPr>
        <w:t>”</w:t>
      </w:r>
      <w:r>
        <w:rPr>
          <w:rFonts w:hint="eastAsia" w:ascii="仿宋_GB2312" w:eastAsia="仿宋_GB2312"/>
          <w:sz w:val="32"/>
          <w:szCs w:val="32"/>
        </w:rPr>
        <w:t>等战略举措，推进实施《天津市知识产权强市建设纲要（</w:t>
      </w:r>
      <w:r>
        <w:rPr>
          <w:rFonts w:eastAsia="仿宋_GB2312"/>
          <w:sz w:val="32"/>
          <w:szCs w:val="32"/>
        </w:rPr>
        <w:t>2021-2035</w:t>
      </w:r>
      <w:r>
        <w:rPr>
          <w:rFonts w:hint="eastAsia" w:ascii="仿宋_GB2312" w:eastAsia="仿宋_GB2312"/>
          <w:sz w:val="32"/>
          <w:szCs w:val="32"/>
        </w:rPr>
        <w:t>年）》，有效支撑我市</w:t>
      </w:r>
      <w:r>
        <w:rPr>
          <w:rFonts w:eastAsia="仿宋_GB2312"/>
          <w:sz w:val="32"/>
          <w:szCs w:val="32"/>
        </w:rPr>
        <w:t>“</w:t>
      </w:r>
      <w:r>
        <w:rPr>
          <w:rFonts w:hint="eastAsia" w:ascii="仿宋_GB2312" w:eastAsia="仿宋_GB2312"/>
          <w:sz w:val="32"/>
          <w:szCs w:val="32"/>
        </w:rPr>
        <w:t>两个创新</w:t>
      </w:r>
      <w:r>
        <w:rPr>
          <w:rFonts w:eastAsia="仿宋_GB2312"/>
          <w:sz w:val="32"/>
          <w:szCs w:val="32"/>
        </w:rPr>
        <w:t>”</w:t>
      </w:r>
      <w:r>
        <w:rPr>
          <w:rFonts w:hint="eastAsia" w:ascii="仿宋_GB2312" w:eastAsia="仿宋_GB2312"/>
          <w:sz w:val="32"/>
          <w:szCs w:val="32"/>
        </w:rPr>
        <w:t>深度融合和经济社会高质量发展，根据《天津市知识产权资助项目与专项资金管理办法》，市知识产权局开展</w:t>
      </w:r>
      <w:r>
        <w:rPr>
          <w:rFonts w:eastAsia="仿宋_GB2312"/>
          <w:sz w:val="32"/>
          <w:szCs w:val="32"/>
        </w:rPr>
        <w:t>2026</w:t>
      </w:r>
      <w:r>
        <w:rPr>
          <w:rFonts w:hint="eastAsia" w:ascii="仿宋_GB2312" w:eastAsia="仿宋_GB2312"/>
          <w:sz w:val="32"/>
          <w:szCs w:val="32"/>
        </w:rPr>
        <w:t>年知识产权资助项目征集。</w:t>
      </w:r>
    </w:p>
    <w:p w14:paraId="077A8371">
      <w:pPr>
        <w:spacing w:line="600" w:lineRule="exact"/>
        <w:ind w:firstLine="645"/>
        <w:outlineLvl w:val="1"/>
        <w:rPr>
          <w:rFonts w:eastAsia="黑体"/>
          <w:sz w:val="32"/>
          <w:szCs w:val="32"/>
        </w:rPr>
      </w:pPr>
      <w:r>
        <w:rPr>
          <w:rFonts w:hint="eastAsia" w:ascii="黑体" w:eastAsia="黑体"/>
          <w:sz w:val="32"/>
          <w:szCs w:val="32"/>
        </w:rPr>
        <w:t>一、申报程序</w:t>
      </w:r>
    </w:p>
    <w:p w14:paraId="02113230">
      <w:pPr>
        <w:spacing w:line="600" w:lineRule="exact"/>
        <w:ind w:firstLine="640" w:firstLineChars="200"/>
        <w:rPr>
          <w:rFonts w:eastAsia="仿宋_GB2312"/>
          <w:sz w:val="32"/>
          <w:szCs w:val="32"/>
        </w:rPr>
      </w:pPr>
      <w:r>
        <w:rPr>
          <w:rFonts w:hint="eastAsia" w:ascii="仿宋_GB2312" w:eastAsia="仿宋_GB2312"/>
          <w:sz w:val="32"/>
          <w:szCs w:val="32"/>
        </w:rPr>
        <w:t>项目征集按照单位申报、初审、专家评审、立项公示、项目确定等程序组织实施。</w:t>
      </w:r>
    </w:p>
    <w:p w14:paraId="68BF0E63">
      <w:pPr>
        <w:spacing w:line="600" w:lineRule="exact"/>
        <w:ind w:firstLine="645"/>
        <w:outlineLvl w:val="1"/>
        <w:rPr>
          <w:rFonts w:eastAsia="黑体"/>
          <w:sz w:val="32"/>
          <w:szCs w:val="32"/>
        </w:rPr>
      </w:pPr>
      <w:r>
        <w:rPr>
          <w:rFonts w:hint="eastAsia" w:ascii="黑体" w:eastAsia="黑体"/>
          <w:sz w:val="32"/>
          <w:szCs w:val="32"/>
        </w:rPr>
        <w:t>二、申报单位</w:t>
      </w:r>
    </w:p>
    <w:p w14:paraId="0497D997">
      <w:pPr>
        <w:spacing w:line="600" w:lineRule="exact"/>
        <w:ind w:firstLine="640" w:firstLineChars="200"/>
        <w:rPr>
          <w:rFonts w:eastAsia="仿宋_GB2312"/>
          <w:sz w:val="32"/>
          <w:szCs w:val="32"/>
        </w:rPr>
      </w:pPr>
      <w:r>
        <w:rPr>
          <w:rFonts w:eastAsia="仿宋_GB2312"/>
          <w:sz w:val="32"/>
          <w:szCs w:val="32"/>
        </w:rPr>
        <w:t>1.</w:t>
      </w:r>
      <w:r>
        <w:rPr>
          <w:rFonts w:hint="eastAsia" w:ascii="仿宋_GB2312" w:eastAsia="仿宋_GB2312"/>
          <w:sz w:val="32"/>
          <w:szCs w:val="32"/>
        </w:rPr>
        <w:t>申报单位应为依法注册登记的企业、行政事业单位、社会组织或联合体，有同类未结项或近两年内有未正常结项（或被取消）知识产权资助项目的不能申报（截止</w:t>
      </w:r>
      <w:r>
        <w:rPr>
          <w:rFonts w:eastAsia="仿宋_GB2312"/>
          <w:sz w:val="32"/>
          <w:szCs w:val="32"/>
        </w:rPr>
        <w:t>2026</w:t>
      </w:r>
      <w:r>
        <w:rPr>
          <w:rFonts w:hint="eastAsia" w:ascii="仿宋_GB2312" w:eastAsia="仿宋_GB2312"/>
          <w:sz w:val="32"/>
          <w:szCs w:val="32"/>
        </w:rPr>
        <w:t>年</w:t>
      </w:r>
      <w:r>
        <w:rPr>
          <w:rFonts w:eastAsia="仿宋_GB2312"/>
          <w:sz w:val="32"/>
          <w:szCs w:val="32"/>
        </w:rPr>
        <w:t>6</w:t>
      </w:r>
      <w:r>
        <w:rPr>
          <w:rFonts w:hint="eastAsia" w:ascii="仿宋_GB2312" w:eastAsia="仿宋_GB2312"/>
          <w:sz w:val="32"/>
          <w:szCs w:val="32"/>
        </w:rPr>
        <w:t>月），不得以同一个项目内容重复申报或多头申报资助项目，同一单位申报项目不得超过两项。</w:t>
      </w:r>
    </w:p>
    <w:p w14:paraId="5083365E">
      <w:pPr>
        <w:spacing w:line="600" w:lineRule="exact"/>
        <w:ind w:firstLine="640" w:firstLineChars="200"/>
        <w:rPr>
          <w:rFonts w:eastAsia="仿宋_GB2312"/>
          <w:sz w:val="32"/>
          <w:szCs w:val="32"/>
        </w:rPr>
      </w:pPr>
      <w:r>
        <w:rPr>
          <w:rFonts w:eastAsia="仿宋_GB2312"/>
          <w:sz w:val="32"/>
          <w:szCs w:val="32"/>
        </w:rPr>
        <w:t>2.</w:t>
      </w:r>
      <w:r>
        <w:rPr>
          <w:rFonts w:hint="eastAsia" w:ascii="仿宋_GB2312" w:eastAsia="仿宋_GB2312"/>
          <w:sz w:val="32"/>
          <w:szCs w:val="32"/>
        </w:rPr>
        <w:t>申报单位不属于《国家知识产权局知识产权信用管理规定》（国知发保字〔</w:t>
      </w:r>
      <w:r>
        <w:rPr>
          <w:rFonts w:eastAsia="仿宋_GB2312"/>
          <w:sz w:val="32"/>
          <w:szCs w:val="32"/>
        </w:rPr>
        <w:t>2022</w:t>
      </w:r>
      <w:r>
        <w:rPr>
          <w:rFonts w:hint="eastAsia" w:ascii="仿宋_GB2312" w:eastAsia="仿宋_GB2312"/>
          <w:sz w:val="32"/>
          <w:szCs w:val="32"/>
        </w:rPr>
        <w:t>〕</w:t>
      </w:r>
      <w:r>
        <w:rPr>
          <w:rFonts w:eastAsia="仿宋_GB2312"/>
          <w:sz w:val="32"/>
          <w:szCs w:val="32"/>
        </w:rPr>
        <w:t>8</w:t>
      </w:r>
      <w:r>
        <w:rPr>
          <w:rFonts w:hint="eastAsia" w:ascii="仿宋_GB2312" w:eastAsia="仿宋_GB2312"/>
          <w:sz w:val="32"/>
          <w:szCs w:val="32"/>
        </w:rPr>
        <w:t>号）认定的失信主体，不属于国家和我市相关部门认定的失信主体或联合惩戒对象。</w:t>
      </w:r>
    </w:p>
    <w:p w14:paraId="54C99D0C">
      <w:pPr>
        <w:spacing w:line="600" w:lineRule="exact"/>
        <w:ind w:firstLine="640" w:firstLineChars="200"/>
        <w:rPr>
          <w:rFonts w:eastAsia="仿宋_GB2312"/>
          <w:sz w:val="32"/>
          <w:szCs w:val="32"/>
        </w:rPr>
      </w:pPr>
      <w:r>
        <w:rPr>
          <w:rFonts w:eastAsia="仿宋_GB2312"/>
          <w:sz w:val="32"/>
          <w:szCs w:val="32"/>
        </w:rPr>
        <w:t>3.</w:t>
      </w:r>
      <w:r>
        <w:rPr>
          <w:rFonts w:hint="eastAsia" w:ascii="仿宋_GB2312" w:eastAsia="仿宋_GB2312"/>
          <w:sz w:val="32"/>
          <w:szCs w:val="32"/>
        </w:rPr>
        <w:t>申报单位应当遵照法律、法规和规章的有关规定，恪守诚实信用原则，对申报项目及申报资料的真实性、合法性和可行性负责。对申报单位存在虚假申报、骗取专项资金的违法行为，依照相应法律法规严肃处理，追回财政资金，停止其申报资助项目资格，并列入天津市知识产权工作失信名单，三年内禁止申报知识产权资助项目。</w:t>
      </w:r>
    </w:p>
    <w:p w14:paraId="559ABA96">
      <w:pPr>
        <w:spacing w:line="600" w:lineRule="exact"/>
        <w:ind w:firstLine="645"/>
        <w:outlineLvl w:val="1"/>
        <w:rPr>
          <w:rFonts w:eastAsia="黑体"/>
          <w:sz w:val="32"/>
          <w:szCs w:val="32"/>
        </w:rPr>
      </w:pPr>
      <w:r>
        <w:rPr>
          <w:rFonts w:hint="eastAsia" w:ascii="黑体" w:eastAsia="黑体"/>
          <w:sz w:val="32"/>
          <w:szCs w:val="32"/>
        </w:rPr>
        <w:t>三、申报受理</w:t>
      </w:r>
    </w:p>
    <w:p w14:paraId="2BF4F58B">
      <w:pPr>
        <w:spacing w:line="600" w:lineRule="exact"/>
        <w:ind w:firstLine="640" w:firstLineChars="200"/>
        <w:rPr>
          <w:rFonts w:eastAsia="仿宋_GB2312"/>
          <w:sz w:val="32"/>
          <w:szCs w:val="32"/>
        </w:rPr>
      </w:pPr>
      <w:r>
        <w:rPr>
          <w:rFonts w:eastAsia="仿宋_GB2312"/>
          <w:sz w:val="32"/>
          <w:szCs w:val="32"/>
        </w:rPr>
        <w:t>1.</w:t>
      </w:r>
      <w:r>
        <w:rPr>
          <w:rFonts w:hint="eastAsia" w:ascii="仿宋_GB2312" w:eastAsia="仿宋_GB2312"/>
          <w:sz w:val="32"/>
          <w:szCs w:val="32"/>
        </w:rPr>
        <w:t>项目申报实行电子化，请登录“天津市知识产权专项资金申报系统”（</w:t>
      </w:r>
      <w:r>
        <w:rPr>
          <w:rFonts w:eastAsia="仿宋_GB2312"/>
          <w:sz w:val="32"/>
          <w:szCs w:val="32"/>
        </w:rPr>
        <w:t>https://zxzj.zscq.tj.gov.cn/</w:t>
      </w:r>
      <w:r>
        <w:rPr>
          <w:rFonts w:hint="eastAsia" w:ascii="仿宋_GB2312" w:eastAsia="仿宋_GB2312"/>
          <w:sz w:val="32"/>
          <w:szCs w:val="32"/>
        </w:rPr>
        <w:t>），在线填写项目申报材料，并提交至区知识产权局或市知识产权局进行审核。</w:t>
      </w:r>
    </w:p>
    <w:p w14:paraId="6F7CA24C">
      <w:pPr>
        <w:spacing w:line="600" w:lineRule="exact"/>
        <w:ind w:firstLine="640" w:firstLineChars="200"/>
        <w:rPr>
          <w:rFonts w:eastAsia="仿宋_GB2312"/>
          <w:sz w:val="32"/>
          <w:szCs w:val="32"/>
        </w:rPr>
      </w:pPr>
      <w:r>
        <w:rPr>
          <w:rFonts w:hint="eastAsia" w:ascii="仿宋_GB2312" w:eastAsia="仿宋_GB2312"/>
          <w:sz w:val="32"/>
          <w:szCs w:val="32"/>
        </w:rPr>
        <w:t>（</w:t>
      </w:r>
      <w:r>
        <w:rPr>
          <w:rFonts w:eastAsia="仿宋_GB2312"/>
          <w:sz w:val="32"/>
          <w:szCs w:val="32"/>
        </w:rPr>
        <w:t>1</w:t>
      </w:r>
      <w:r>
        <w:rPr>
          <w:rFonts w:hint="eastAsia" w:ascii="仿宋_GB2312" w:eastAsia="仿宋_GB2312"/>
          <w:sz w:val="32"/>
          <w:szCs w:val="32"/>
        </w:rPr>
        <w:t>）单位注册</w:t>
      </w:r>
    </w:p>
    <w:p w14:paraId="1B6B1E6B">
      <w:pPr>
        <w:spacing w:line="600" w:lineRule="exact"/>
        <w:ind w:firstLine="640" w:firstLineChars="200"/>
        <w:rPr>
          <w:rFonts w:eastAsia="仿宋_GB2312"/>
          <w:sz w:val="32"/>
          <w:szCs w:val="32"/>
        </w:rPr>
      </w:pPr>
      <w:r>
        <w:rPr>
          <w:rFonts w:hint="eastAsia" w:ascii="仿宋_GB2312" w:eastAsia="仿宋_GB2312"/>
          <w:sz w:val="32"/>
          <w:szCs w:val="32"/>
        </w:rPr>
        <w:t>申报单位登录“天津市知识产权专项资金申报系统”（</w:t>
      </w:r>
      <w:r>
        <w:rPr>
          <w:rFonts w:eastAsia="仿宋_GB2312"/>
          <w:sz w:val="32"/>
          <w:szCs w:val="32"/>
        </w:rPr>
        <w:t>https://zxzj.zscq.tj.gov.cn/</w:t>
      </w:r>
      <w:r>
        <w:rPr>
          <w:rFonts w:hint="eastAsia" w:ascii="仿宋_GB2312" w:eastAsia="仿宋_GB2312"/>
          <w:sz w:val="32"/>
          <w:szCs w:val="32"/>
        </w:rPr>
        <w:t>），进行单位注册后，单位职工即可作为申报人进行注册并申报项目。</w:t>
      </w:r>
    </w:p>
    <w:p w14:paraId="777ABC6B">
      <w:pPr>
        <w:spacing w:line="600" w:lineRule="exact"/>
        <w:ind w:firstLine="640" w:firstLineChars="200"/>
        <w:rPr>
          <w:rFonts w:eastAsia="仿宋_GB2312"/>
          <w:sz w:val="32"/>
          <w:szCs w:val="32"/>
        </w:rPr>
      </w:pPr>
      <w:r>
        <w:rPr>
          <w:rFonts w:hint="eastAsia" w:ascii="仿宋_GB2312" w:eastAsia="仿宋_GB2312"/>
          <w:sz w:val="32"/>
          <w:szCs w:val="32"/>
        </w:rPr>
        <w:t>（</w:t>
      </w:r>
      <w:r>
        <w:rPr>
          <w:rFonts w:eastAsia="仿宋_GB2312"/>
          <w:sz w:val="32"/>
          <w:szCs w:val="32"/>
        </w:rPr>
        <w:t>2</w:t>
      </w:r>
      <w:r>
        <w:rPr>
          <w:rFonts w:hint="eastAsia" w:ascii="仿宋_GB2312" w:eastAsia="仿宋_GB2312"/>
          <w:sz w:val="32"/>
          <w:szCs w:val="32"/>
        </w:rPr>
        <w:t>）申报人注册</w:t>
      </w:r>
    </w:p>
    <w:p w14:paraId="3A9B5500">
      <w:pPr>
        <w:spacing w:line="600" w:lineRule="exact"/>
        <w:ind w:firstLine="640" w:firstLineChars="200"/>
        <w:rPr>
          <w:rFonts w:eastAsia="仿宋_GB2312"/>
          <w:sz w:val="32"/>
          <w:szCs w:val="32"/>
        </w:rPr>
      </w:pPr>
      <w:r>
        <w:rPr>
          <w:rFonts w:hint="eastAsia" w:ascii="仿宋_GB2312" w:eastAsia="仿宋_GB2312"/>
          <w:sz w:val="32"/>
          <w:szCs w:val="32"/>
        </w:rPr>
        <w:t>申报人登录“天津市知识产权专项资金申报系统”（</w:t>
      </w:r>
      <w:r>
        <w:rPr>
          <w:rFonts w:eastAsia="仿宋_GB2312"/>
          <w:sz w:val="32"/>
          <w:szCs w:val="32"/>
        </w:rPr>
        <w:t>https://zxzj.zscq.tj.gov.cn/</w:t>
      </w:r>
      <w:r>
        <w:rPr>
          <w:rFonts w:hint="eastAsia" w:ascii="仿宋_GB2312" w:eastAsia="仿宋_GB2312"/>
          <w:sz w:val="32"/>
          <w:szCs w:val="32"/>
        </w:rPr>
        <w:t>），并在系统中选择所属单位选项；申报人注册成功后可使用用户名和密码登录系统填写申报书。如果在系统中没有找到所属单位，则说明单位尚未注册，申报人可联系所属单位尽快进行注册。</w:t>
      </w:r>
    </w:p>
    <w:p w14:paraId="7418ABDA">
      <w:pPr>
        <w:spacing w:line="600" w:lineRule="exact"/>
        <w:ind w:firstLine="640" w:firstLineChars="200"/>
        <w:rPr>
          <w:rFonts w:eastAsia="仿宋_GB2312"/>
          <w:sz w:val="32"/>
          <w:szCs w:val="32"/>
        </w:rPr>
      </w:pPr>
      <w:r>
        <w:rPr>
          <w:rFonts w:hint="eastAsia" w:ascii="仿宋_GB2312" w:eastAsia="仿宋_GB2312"/>
          <w:sz w:val="32"/>
          <w:szCs w:val="32"/>
        </w:rPr>
        <w:t>（</w:t>
      </w:r>
      <w:r>
        <w:rPr>
          <w:rFonts w:eastAsia="仿宋_GB2312"/>
          <w:sz w:val="32"/>
          <w:szCs w:val="32"/>
        </w:rPr>
        <w:t>3</w:t>
      </w:r>
      <w:r>
        <w:rPr>
          <w:rFonts w:hint="eastAsia" w:ascii="仿宋_GB2312" w:eastAsia="仿宋_GB2312"/>
          <w:sz w:val="32"/>
          <w:szCs w:val="32"/>
        </w:rPr>
        <w:t>）在线申报</w:t>
      </w:r>
    </w:p>
    <w:p w14:paraId="7185B5A4">
      <w:pPr>
        <w:spacing w:line="600" w:lineRule="exact"/>
        <w:ind w:firstLine="640" w:firstLineChars="200"/>
        <w:rPr>
          <w:rFonts w:eastAsia="仿宋_GB2312"/>
          <w:sz w:val="32"/>
          <w:szCs w:val="32"/>
        </w:rPr>
      </w:pPr>
      <w:r>
        <w:rPr>
          <w:rFonts w:hint="eastAsia" w:ascii="仿宋_GB2312" w:eastAsia="仿宋_GB2312"/>
          <w:sz w:val="32"/>
          <w:szCs w:val="32"/>
        </w:rPr>
        <w:t>申报人登录系统创建项目申报书后，在线填写申报书，上传完整附件材料及项目实施方案，并在线提交至申报单位；申报单位需要使用单位账号进行审核，并在线提交至区知识产权局或市知识产权局审核。</w:t>
      </w:r>
    </w:p>
    <w:p w14:paraId="319640B3">
      <w:pPr>
        <w:spacing w:line="600" w:lineRule="exact"/>
        <w:ind w:firstLine="640" w:firstLineChars="200"/>
        <w:rPr>
          <w:rFonts w:eastAsia="仿宋_GB2312"/>
          <w:sz w:val="32"/>
          <w:szCs w:val="32"/>
        </w:rPr>
      </w:pPr>
      <w:r>
        <w:rPr>
          <w:rFonts w:eastAsia="仿宋_GB2312"/>
          <w:sz w:val="32"/>
          <w:szCs w:val="32"/>
        </w:rPr>
        <w:t>2.</w:t>
      </w:r>
      <w:r>
        <w:rPr>
          <w:rFonts w:hint="eastAsia" w:ascii="仿宋_GB2312" w:eastAsia="仿宋_GB2312"/>
          <w:sz w:val="32"/>
          <w:szCs w:val="32"/>
        </w:rPr>
        <w:t>申报截止时间为</w:t>
      </w:r>
      <w:r>
        <w:rPr>
          <w:rFonts w:eastAsia="仿宋_GB2312"/>
          <w:sz w:val="32"/>
          <w:szCs w:val="32"/>
        </w:rPr>
        <w:t>2026</w:t>
      </w:r>
      <w:r>
        <w:rPr>
          <w:rFonts w:hint="eastAsia" w:ascii="仿宋_GB2312" w:eastAsia="仿宋_GB2312"/>
          <w:sz w:val="32"/>
          <w:szCs w:val="32"/>
        </w:rPr>
        <w:t>年</w:t>
      </w:r>
      <w:r>
        <w:rPr>
          <w:rFonts w:eastAsia="仿宋_GB2312"/>
          <w:sz w:val="32"/>
          <w:szCs w:val="32"/>
        </w:rPr>
        <w:t>3</w:t>
      </w:r>
      <w:r>
        <w:rPr>
          <w:rFonts w:hint="eastAsia" w:ascii="仿宋_GB2312" w:eastAsia="仿宋_GB2312"/>
          <w:sz w:val="32"/>
          <w:szCs w:val="32"/>
        </w:rPr>
        <w:t>月</w:t>
      </w:r>
      <w:r>
        <w:rPr>
          <w:rFonts w:eastAsia="仿宋_GB2312"/>
          <w:sz w:val="32"/>
          <w:szCs w:val="32"/>
        </w:rPr>
        <w:t>27</w:t>
      </w:r>
      <w:r>
        <w:rPr>
          <w:rFonts w:hint="eastAsia" w:ascii="仿宋_GB2312" w:eastAsia="仿宋_GB2312"/>
          <w:sz w:val="32"/>
          <w:szCs w:val="32"/>
        </w:rPr>
        <w:t>日</w:t>
      </w:r>
      <w:r>
        <w:rPr>
          <w:rFonts w:eastAsia="仿宋_GB2312"/>
          <w:sz w:val="32"/>
          <w:szCs w:val="32"/>
        </w:rPr>
        <w:t>17</w:t>
      </w:r>
      <w:r>
        <w:rPr>
          <w:rFonts w:hint="eastAsia" w:ascii="仿宋_GB2312" w:eastAsia="仿宋_GB2312"/>
          <w:sz w:val="32"/>
          <w:szCs w:val="32"/>
        </w:rPr>
        <w:t>时</w:t>
      </w:r>
      <w:r>
        <w:rPr>
          <w:rFonts w:eastAsia="仿宋_GB2312"/>
          <w:sz w:val="32"/>
          <w:szCs w:val="32"/>
        </w:rPr>
        <w:t>00</w:t>
      </w:r>
      <w:r>
        <w:rPr>
          <w:rFonts w:hint="eastAsia" w:ascii="仿宋_GB2312" w:eastAsia="仿宋_GB2312"/>
          <w:sz w:val="32"/>
          <w:szCs w:val="32"/>
        </w:rPr>
        <w:t>分，在此时间内，申报的项目需完成“申报书提交”和“单位审查通过”，逾期不再受理。</w:t>
      </w:r>
    </w:p>
    <w:p w14:paraId="6C3CF10F">
      <w:pPr>
        <w:spacing w:line="600" w:lineRule="exact"/>
        <w:ind w:firstLine="645"/>
        <w:outlineLvl w:val="1"/>
        <w:rPr>
          <w:rFonts w:eastAsia="黑体"/>
          <w:sz w:val="32"/>
          <w:szCs w:val="32"/>
        </w:rPr>
      </w:pPr>
      <w:r>
        <w:rPr>
          <w:rFonts w:hint="eastAsia" w:ascii="黑体" w:eastAsia="黑体"/>
          <w:sz w:val="32"/>
          <w:szCs w:val="32"/>
        </w:rPr>
        <w:t>四、项目咨询</w:t>
      </w:r>
    </w:p>
    <w:p w14:paraId="78F8CB13">
      <w:pPr>
        <w:spacing w:line="600" w:lineRule="exact"/>
        <w:ind w:firstLine="640" w:firstLineChars="200"/>
        <w:rPr>
          <w:szCs w:val="21"/>
        </w:rPr>
      </w:pPr>
      <w:r>
        <w:rPr>
          <w:rFonts w:hint="eastAsia" w:ascii="仿宋_GB2312" w:eastAsia="仿宋_GB2312"/>
          <w:sz w:val="32"/>
          <w:szCs w:val="32"/>
        </w:rPr>
        <w:t>申报期间工作时间（法定节假日除外）咨询电话：</w:t>
      </w:r>
    </w:p>
    <w:tbl>
      <w:tblPr>
        <w:tblStyle w:val="20"/>
        <w:tblW w:w="837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7"/>
        <w:gridCol w:w="1418"/>
        <w:gridCol w:w="3474"/>
        <w:gridCol w:w="1188"/>
        <w:gridCol w:w="1597"/>
      </w:tblGrid>
      <w:tr w14:paraId="0B2F9E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5"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vAlign w:val="center"/>
          </w:tcPr>
          <w:p w14:paraId="7B939734">
            <w:pPr>
              <w:widowControl/>
              <w:textAlignment w:val="center"/>
              <w:rPr>
                <w:b/>
                <w:bCs/>
                <w:sz w:val="28"/>
                <w:szCs w:val="28"/>
              </w:rPr>
            </w:pPr>
            <w:r>
              <w:rPr>
                <w:rFonts w:eastAsia="仿宋_GB2312"/>
                <w:b/>
                <w:bCs/>
                <w:kern w:val="0"/>
                <w:sz w:val="28"/>
                <w:szCs w:val="28"/>
              </w:rPr>
              <w:t>序号</w:t>
            </w:r>
          </w:p>
        </w:tc>
        <w:tc>
          <w:tcPr>
            <w:tcW w:w="1418" w:type="dxa"/>
            <w:tcBorders>
              <w:top w:val="single" w:color="auto" w:sz="4" w:space="0"/>
              <w:left w:val="nil"/>
              <w:bottom w:val="single" w:color="auto" w:sz="4" w:space="0"/>
              <w:right w:val="single" w:color="auto" w:sz="4" w:space="0"/>
              <w:tl2br w:val="nil"/>
              <w:tr2bl w:val="nil"/>
            </w:tcBorders>
            <w:vAlign w:val="center"/>
          </w:tcPr>
          <w:p w14:paraId="681C971B">
            <w:pPr>
              <w:widowControl/>
              <w:jc w:val="center"/>
              <w:textAlignment w:val="center"/>
              <w:rPr>
                <w:rFonts w:eastAsia="仿宋"/>
                <w:b/>
                <w:bCs/>
                <w:sz w:val="28"/>
                <w:szCs w:val="28"/>
              </w:rPr>
            </w:pPr>
            <w:r>
              <w:rPr>
                <w:rFonts w:eastAsia="仿宋"/>
                <w:b/>
                <w:bCs/>
                <w:sz w:val="28"/>
                <w:szCs w:val="28"/>
              </w:rPr>
              <w:t>项目名称</w:t>
            </w:r>
          </w:p>
        </w:tc>
        <w:tc>
          <w:tcPr>
            <w:tcW w:w="3474" w:type="dxa"/>
            <w:tcBorders>
              <w:top w:val="single" w:color="auto" w:sz="4" w:space="0"/>
              <w:left w:val="nil"/>
              <w:bottom w:val="single" w:color="auto" w:sz="4" w:space="0"/>
              <w:right w:val="single" w:color="auto" w:sz="4" w:space="0"/>
              <w:tl2br w:val="nil"/>
              <w:tr2bl w:val="nil"/>
            </w:tcBorders>
            <w:vAlign w:val="center"/>
          </w:tcPr>
          <w:p w14:paraId="2BDDD255">
            <w:pPr>
              <w:widowControl/>
              <w:jc w:val="center"/>
              <w:textAlignment w:val="center"/>
              <w:rPr>
                <w:rFonts w:eastAsia="仿宋"/>
                <w:b/>
                <w:bCs/>
                <w:sz w:val="28"/>
                <w:szCs w:val="28"/>
              </w:rPr>
            </w:pPr>
            <w:r>
              <w:rPr>
                <w:rFonts w:eastAsia="仿宋"/>
                <w:b/>
                <w:bCs/>
                <w:sz w:val="28"/>
                <w:szCs w:val="28"/>
              </w:rPr>
              <w:t>支持方向</w:t>
            </w:r>
          </w:p>
        </w:tc>
        <w:tc>
          <w:tcPr>
            <w:tcW w:w="1188" w:type="dxa"/>
            <w:tcBorders>
              <w:top w:val="single" w:color="auto" w:sz="4" w:space="0"/>
              <w:left w:val="nil"/>
              <w:bottom w:val="single" w:color="auto" w:sz="4" w:space="0"/>
              <w:right w:val="single" w:color="auto" w:sz="4" w:space="0"/>
              <w:tl2br w:val="nil"/>
              <w:tr2bl w:val="nil"/>
            </w:tcBorders>
            <w:vAlign w:val="center"/>
          </w:tcPr>
          <w:p w14:paraId="77DAD374">
            <w:pPr>
              <w:widowControl/>
              <w:jc w:val="center"/>
              <w:textAlignment w:val="center"/>
              <w:rPr>
                <w:rFonts w:eastAsia="仿宋"/>
                <w:b/>
                <w:bCs/>
                <w:sz w:val="28"/>
                <w:szCs w:val="28"/>
              </w:rPr>
            </w:pPr>
            <w:r>
              <w:rPr>
                <w:rFonts w:eastAsia="仿宋"/>
                <w:b/>
                <w:bCs/>
                <w:sz w:val="28"/>
                <w:szCs w:val="28"/>
              </w:rPr>
              <w:t>咨询人</w:t>
            </w:r>
          </w:p>
        </w:tc>
        <w:tc>
          <w:tcPr>
            <w:tcW w:w="1597" w:type="dxa"/>
            <w:tcBorders>
              <w:top w:val="single" w:color="auto" w:sz="4" w:space="0"/>
              <w:left w:val="nil"/>
              <w:bottom w:val="single" w:color="auto" w:sz="4" w:space="0"/>
              <w:right w:val="single" w:color="auto" w:sz="4" w:space="0"/>
              <w:tl2br w:val="nil"/>
              <w:tr2bl w:val="nil"/>
            </w:tcBorders>
            <w:vAlign w:val="center"/>
          </w:tcPr>
          <w:p w14:paraId="20EEFB69">
            <w:pPr>
              <w:widowControl/>
              <w:jc w:val="center"/>
              <w:textAlignment w:val="center"/>
              <w:rPr>
                <w:rFonts w:eastAsia="仿宋"/>
                <w:b/>
                <w:bCs/>
                <w:sz w:val="28"/>
                <w:szCs w:val="28"/>
              </w:rPr>
            </w:pPr>
            <w:r>
              <w:rPr>
                <w:rFonts w:eastAsia="仿宋"/>
                <w:b/>
                <w:bCs/>
                <w:sz w:val="28"/>
                <w:szCs w:val="28"/>
              </w:rPr>
              <w:t>咨询电话</w:t>
            </w:r>
          </w:p>
        </w:tc>
      </w:tr>
      <w:tr w14:paraId="072215F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5" w:hRule="atLeast"/>
          <w:jc w:val="center"/>
        </w:trPr>
        <w:tc>
          <w:tcPr>
            <w:tcW w:w="697" w:type="dxa"/>
            <w:vMerge w:val="restart"/>
            <w:tcBorders>
              <w:top w:val="nil"/>
              <w:left w:val="single" w:color="auto" w:sz="4" w:space="0"/>
              <w:bottom w:val="single" w:color="auto" w:sz="4" w:space="0"/>
              <w:right w:val="single" w:color="auto" w:sz="4" w:space="0"/>
              <w:tl2br w:val="nil"/>
              <w:tr2bl w:val="nil"/>
            </w:tcBorders>
            <w:vAlign w:val="center"/>
          </w:tcPr>
          <w:p w14:paraId="3CEACB2D">
            <w:pPr>
              <w:widowControl/>
              <w:jc w:val="center"/>
              <w:textAlignment w:val="center"/>
              <w:rPr>
                <w:rFonts w:eastAsia="仿宋"/>
                <w:sz w:val="24"/>
              </w:rPr>
            </w:pPr>
            <w:r>
              <w:rPr>
                <w:rFonts w:eastAsia="仿宋"/>
                <w:kern w:val="0"/>
                <w:sz w:val="24"/>
              </w:rPr>
              <w:t>1</w:t>
            </w:r>
          </w:p>
        </w:tc>
        <w:tc>
          <w:tcPr>
            <w:tcW w:w="1418" w:type="dxa"/>
            <w:vMerge w:val="restart"/>
            <w:tcBorders>
              <w:top w:val="nil"/>
              <w:left w:val="nil"/>
              <w:bottom w:val="single" w:color="auto" w:sz="4" w:space="0"/>
              <w:right w:val="single" w:color="auto" w:sz="4" w:space="0"/>
              <w:tl2br w:val="nil"/>
              <w:tr2bl w:val="nil"/>
            </w:tcBorders>
            <w:vAlign w:val="center"/>
          </w:tcPr>
          <w:p w14:paraId="16814E7F">
            <w:pPr>
              <w:widowControl/>
              <w:jc w:val="center"/>
              <w:textAlignment w:val="center"/>
              <w:rPr>
                <w:rFonts w:eastAsia="仿宋"/>
                <w:sz w:val="24"/>
              </w:rPr>
            </w:pPr>
            <w:r>
              <w:rPr>
                <w:rFonts w:eastAsia="仿宋"/>
                <w:kern w:val="0"/>
                <w:sz w:val="24"/>
              </w:rPr>
              <w:t>高质量知识产权创造项目</w:t>
            </w:r>
          </w:p>
        </w:tc>
        <w:tc>
          <w:tcPr>
            <w:tcW w:w="3474" w:type="dxa"/>
            <w:tcBorders>
              <w:top w:val="single" w:color="auto" w:sz="4" w:space="0"/>
              <w:left w:val="nil"/>
              <w:bottom w:val="single" w:color="auto" w:sz="4" w:space="0"/>
              <w:right w:val="single" w:color="auto" w:sz="4" w:space="0"/>
              <w:tl2br w:val="nil"/>
              <w:tr2bl w:val="nil"/>
            </w:tcBorders>
            <w:vAlign w:val="center"/>
          </w:tcPr>
          <w:p w14:paraId="79AD2D1C">
            <w:pPr>
              <w:widowControl/>
              <w:jc w:val="left"/>
              <w:textAlignment w:val="center"/>
              <w:rPr>
                <w:rFonts w:eastAsia="仿宋"/>
                <w:kern w:val="0"/>
                <w:sz w:val="24"/>
              </w:rPr>
            </w:pPr>
            <w:r>
              <w:rPr>
                <w:rFonts w:hint="eastAsia" w:eastAsia="仿宋"/>
                <w:kern w:val="0"/>
                <w:sz w:val="24"/>
              </w:rPr>
              <w:t>国家知识产权示范企业培育</w:t>
            </w:r>
          </w:p>
        </w:tc>
        <w:tc>
          <w:tcPr>
            <w:tcW w:w="1188" w:type="dxa"/>
            <w:tcBorders>
              <w:top w:val="single" w:color="auto" w:sz="4" w:space="0"/>
              <w:left w:val="nil"/>
              <w:bottom w:val="single" w:color="auto" w:sz="4" w:space="0"/>
              <w:right w:val="single" w:color="auto" w:sz="4" w:space="0"/>
              <w:tl2br w:val="nil"/>
              <w:tr2bl w:val="nil"/>
            </w:tcBorders>
            <w:vAlign w:val="center"/>
          </w:tcPr>
          <w:p w14:paraId="03A87640">
            <w:pPr>
              <w:widowControl/>
              <w:jc w:val="center"/>
              <w:textAlignment w:val="center"/>
              <w:rPr>
                <w:rFonts w:eastAsia="仿宋"/>
                <w:kern w:val="0"/>
                <w:sz w:val="24"/>
              </w:rPr>
            </w:pPr>
            <w:r>
              <w:rPr>
                <w:rFonts w:hint="eastAsia" w:eastAsia="仿宋"/>
                <w:kern w:val="0"/>
                <w:sz w:val="24"/>
              </w:rPr>
              <w:t>孙志艳</w:t>
            </w:r>
          </w:p>
        </w:tc>
        <w:tc>
          <w:tcPr>
            <w:tcW w:w="1597" w:type="dxa"/>
            <w:tcBorders>
              <w:top w:val="single" w:color="auto" w:sz="4" w:space="0"/>
              <w:left w:val="nil"/>
              <w:bottom w:val="single" w:color="auto" w:sz="4" w:space="0"/>
              <w:right w:val="single" w:color="auto" w:sz="4" w:space="0"/>
              <w:tl2br w:val="nil"/>
              <w:tr2bl w:val="nil"/>
            </w:tcBorders>
            <w:vAlign w:val="center"/>
          </w:tcPr>
          <w:p w14:paraId="70CD1817">
            <w:pPr>
              <w:widowControl/>
              <w:jc w:val="left"/>
              <w:textAlignment w:val="center"/>
              <w:rPr>
                <w:rFonts w:eastAsia="仿宋"/>
                <w:kern w:val="0"/>
                <w:sz w:val="24"/>
              </w:rPr>
            </w:pPr>
            <w:r>
              <w:rPr>
                <w:rFonts w:eastAsia="仿宋"/>
                <w:kern w:val="0"/>
                <w:sz w:val="24"/>
              </w:rPr>
              <w:t>23039895</w:t>
            </w:r>
          </w:p>
        </w:tc>
      </w:tr>
      <w:tr w14:paraId="79BDF5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5"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41B10530"/>
        </w:tc>
        <w:tc>
          <w:tcPr>
            <w:tcW w:w="1418" w:type="dxa"/>
            <w:vMerge w:val="continue"/>
            <w:tcBorders>
              <w:top w:val="nil"/>
              <w:left w:val="nil"/>
              <w:bottom w:val="single" w:color="auto" w:sz="4" w:space="0"/>
              <w:right w:val="single" w:color="auto" w:sz="4" w:space="0"/>
              <w:tl2br w:val="nil"/>
              <w:tr2bl w:val="nil"/>
            </w:tcBorders>
            <w:vAlign w:val="center"/>
          </w:tcPr>
          <w:p w14:paraId="3F20CA38"/>
        </w:tc>
        <w:tc>
          <w:tcPr>
            <w:tcW w:w="3474" w:type="dxa"/>
            <w:tcBorders>
              <w:top w:val="single" w:color="auto" w:sz="4" w:space="0"/>
              <w:left w:val="nil"/>
              <w:bottom w:val="single" w:color="auto" w:sz="4" w:space="0"/>
              <w:right w:val="single" w:color="auto" w:sz="4" w:space="0"/>
              <w:tl2br w:val="nil"/>
              <w:tr2bl w:val="nil"/>
            </w:tcBorders>
            <w:vAlign w:val="center"/>
          </w:tcPr>
          <w:p w14:paraId="67FAA0A1">
            <w:pPr>
              <w:widowControl/>
              <w:jc w:val="left"/>
              <w:textAlignment w:val="center"/>
              <w:rPr>
                <w:rFonts w:eastAsia="仿宋"/>
                <w:kern w:val="0"/>
                <w:sz w:val="24"/>
              </w:rPr>
            </w:pPr>
            <w:r>
              <w:rPr>
                <w:rFonts w:eastAsia="仿宋"/>
                <w:kern w:val="0"/>
                <w:sz w:val="24"/>
              </w:rPr>
              <w:t>知识产权创新文化</w:t>
            </w:r>
          </w:p>
        </w:tc>
        <w:tc>
          <w:tcPr>
            <w:tcW w:w="1188" w:type="dxa"/>
            <w:tcBorders>
              <w:top w:val="single" w:color="auto" w:sz="4" w:space="0"/>
              <w:left w:val="nil"/>
              <w:bottom w:val="single" w:color="auto" w:sz="4" w:space="0"/>
              <w:right w:val="single" w:color="auto" w:sz="4" w:space="0"/>
              <w:tl2br w:val="nil"/>
              <w:tr2bl w:val="nil"/>
            </w:tcBorders>
            <w:vAlign w:val="center"/>
          </w:tcPr>
          <w:p w14:paraId="14F13BF9">
            <w:pPr>
              <w:widowControl/>
              <w:jc w:val="center"/>
              <w:textAlignment w:val="center"/>
              <w:rPr>
                <w:rFonts w:eastAsia="仿宋"/>
                <w:kern w:val="0"/>
                <w:sz w:val="24"/>
              </w:rPr>
            </w:pPr>
            <w:r>
              <w:rPr>
                <w:rFonts w:eastAsia="仿宋"/>
                <w:kern w:val="0"/>
                <w:sz w:val="24"/>
              </w:rPr>
              <w:t>张  军</w:t>
            </w:r>
          </w:p>
        </w:tc>
        <w:tc>
          <w:tcPr>
            <w:tcW w:w="1597" w:type="dxa"/>
            <w:tcBorders>
              <w:top w:val="single" w:color="auto" w:sz="4" w:space="0"/>
              <w:left w:val="nil"/>
              <w:bottom w:val="single" w:color="auto" w:sz="4" w:space="0"/>
              <w:right w:val="single" w:color="auto" w:sz="4" w:space="0"/>
              <w:tl2br w:val="nil"/>
              <w:tr2bl w:val="nil"/>
            </w:tcBorders>
            <w:vAlign w:val="center"/>
          </w:tcPr>
          <w:p w14:paraId="05968020">
            <w:pPr>
              <w:widowControl/>
              <w:jc w:val="left"/>
              <w:textAlignment w:val="center"/>
              <w:rPr>
                <w:rFonts w:eastAsia="仿宋"/>
                <w:kern w:val="0"/>
                <w:sz w:val="24"/>
              </w:rPr>
            </w:pPr>
            <w:r>
              <w:rPr>
                <w:rFonts w:eastAsia="仿宋"/>
                <w:kern w:val="0"/>
                <w:sz w:val="24"/>
              </w:rPr>
              <w:t>23039857</w:t>
            </w:r>
          </w:p>
        </w:tc>
      </w:tr>
      <w:tr w14:paraId="1CA715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8"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07890A49"/>
        </w:tc>
        <w:tc>
          <w:tcPr>
            <w:tcW w:w="1418" w:type="dxa"/>
            <w:vMerge w:val="continue"/>
            <w:tcBorders>
              <w:top w:val="nil"/>
              <w:left w:val="nil"/>
              <w:bottom w:val="single" w:color="auto" w:sz="4" w:space="0"/>
              <w:right w:val="single" w:color="auto" w:sz="4" w:space="0"/>
              <w:tl2br w:val="nil"/>
              <w:tr2bl w:val="nil"/>
            </w:tcBorders>
            <w:vAlign w:val="center"/>
          </w:tcPr>
          <w:p w14:paraId="2F5C5608"/>
        </w:tc>
        <w:tc>
          <w:tcPr>
            <w:tcW w:w="3474" w:type="dxa"/>
            <w:tcBorders>
              <w:top w:val="single" w:color="auto" w:sz="4" w:space="0"/>
              <w:left w:val="nil"/>
              <w:bottom w:val="single" w:color="auto" w:sz="4" w:space="0"/>
              <w:right w:val="single" w:color="auto" w:sz="4" w:space="0"/>
              <w:tl2br w:val="nil"/>
              <w:tr2bl w:val="nil"/>
            </w:tcBorders>
            <w:vAlign w:val="center"/>
          </w:tcPr>
          <w:p w14:paraId="045D3DA3">
            <w:pPr>
              <w:widowControl/>
              <w:jc w:val="left"/>
              <w:textAlignment w:val="center"/>
              <w:rPr>
                <w:rFonts w:eastAsia="仿宋"/>
                <w:kern w:val="0"/>
                <w:sz w:val="24"/>
              </w:rPr>
            </w:pPr>
            <w:r>
              <w:rPr>
                <w:rFonts w:hint="eastAsia" w:eastAsia="仿宋"/>
                <w:kern w:val="0"/>
                <w:sz w:val="24"/>
              </w:rPr>
              <w:t>天开园高质量知识产权创造服务</w:t>
            </w:r>
          </w:p>
        </w:tc>
        <w:tc>
          <w:tcPr>
            <w:tcW w:w="1188" w:type="dxa"/>
            <w:tcBorders>
              <w:top w:val="single" w:color="auto" w:sz="4" w:space="0"/>
              <w:left w:val="nil"/>
              <w:bottom w:val="single" w:color="auto" w:sz="4" w:space="0"/>
              <w:right w:val="single" w:color="auto" w:sz="4" w:space="0"/>
              <w:tl2br w:val="nil"/>
              <w:tr2bl w:val="nil"/>
            </w:tcBorders>
            <w:vAlign w:val="center"/>
          </w:tcPr>
          <w:p w14:paraId="081249B2">
            <w:pPr>
              <w:widowControl/>
              <w:jc w:val="center"/>
              <w:textAlignment w:val="center"/>
              <w:rPr>
                <w:rFonts w:eastAsia="仿宋"/>
                <w:kern w:val="0"/>
                <w:sz w:val="24"/>
              </w:rPr>
            </w:pPr>
            <w:r>
              <w:rPr>
                <w:rFonts w:hint="eastAsia" w:eastAsia="仿宋"/>
                <w:kern w:val="0"/>
                <w:sz w:val="24"/>
              </w:rPr>
              <w:t>刘  臣</w:t>
            </w:r>
          </w:p>
        </w:tc>
        <w:tc>
          <w:tcPr>
            <w:tcW w:w="1597" w:type="dxa"/>
            <w:tcBorders>
              <w:top w:val="single" w:color="auto" w:sz="4" w:space="0"/>
              <w:left w:val="nil"/>
              <w:bottom w:val="single" w:color="auto" w:sz="4" w:space="0"/>
              <w:right w:val="single" w:color="auto" w:sz="4" w:space="0"/>
              <w:tl2br w:val="nil"/>
              <w:tr2bl w:val="nil"/>
            </w:tcBorders>
            <w:vAlign w:val="center"/>
          </w:tcPr>
          <w:p w14:paraId="40A1DCF9">
            <w:pPr>
              <w:widowControl/>
              <w:jc w:val="left"/>
              <w:textAlignment w:val="center"/>
              <w:rPr>
                <w:rFonts w:eastAsia="仿宋"/>
                <w:kern w:val="0"/>
                <w:sz w:val="24"/>
              </w:rPr>
            </w:pPr>
            <w:r>
              <w:rPr>
                <w:rFonts w:eastAsia="仿宋"/>
                <w:kern w:val="0"/>
                <w:sz w:val="24"/>
              </w:rPr>
              <w:t>23039856</w:t>
            </w:r>
          </w:p>
        </w:tc>
      </w:tr>
      <w:tr w14:paraId="7D4174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50FDF40E"/>
        </w:tc>
        <w:tc>
          <w:tcPr>
            <w:tcW w:w="1418" w:type="dxa"/>
            <w:vMerge w:val="continue"/>
            <w:tcBorders>
              <w:top w:val="nil"/>
              <w:left w:val="nil"/>
              <w:bottom w:val="single" w:color="auto" w:sz="4" w:space="0"/>
              <w:right w:val="single" w:color="auto" w:sz="4" w:space="0"/>
              <w:tl2br w:val="nil"/>
              <w:tr2bl w:val="nil"/>
            </w:tcBorders>
            <w:vAlign w:val="center"/>
          </w:tcPr>
          <w:p w14:paraId="3988AF34"/>
        </w:tc>
        <w:tc>
          <w:tcPr>
            <w:tcW w:w="3474" w:type="dxa"/>
            <w:tcBorders>
              <w:top w:val="single" w:color="auto" w:sz="4" w:space="0"/>
              <w:left w:val="nil"/>
              <w:bottom w:val="single" w:color="auto" w:sz="4" w:space="0"/>
              <w:right w:val="single" w:color="auto" w:sz="4" w:space="0"/>
              <w:tl2br w:val="nil"/>
              <w:tr2bl w:val="nil"/>
            </w:tcBorders>
            <w:vAlign w:val="center"/>
          </w:tcPr>
          <w:p w14:paraId="4BB629DE">
            <w:pPr>
              <w:widowControl/>
              <w:jc w:val="left"/>
              <w:textAlignment w:val="center"/>
              <w:rPr>
                <w:rFonts w:eastAsia="仿宋"/>
                <w:kern w:val="0"/>
                <w:sz w:val="24"/>
              </w:rPr>
            </w:pPr>
            <w:r>
              <w:rPr>
                <w:rFonts w:hint="eastAsia" w:eastAsia="仿宋"/>
                <w:kern w:val="0"/>
                <w:sz w:val="24"/>
              </w:rPr>
              <w:t>产业规划类专利导航</w:t>
            </w:r>
          </w:p>
        </w:tc>
        <w:tc>
          <w:tcPr>
            <w:tcW w:w="1188" w:type="dxa"/>
            <w:tcBorders>
              <w:top w:val="single" w:color="auto" w:sz="4" w:space="0"/>
              <w:left w:val="nil"/>
              <w:bottom w:val="single" w:color="auto" w:sz="4" w:space="0"/>
              <w:right w:val="single" w:color="auto" w:sz="4" w:space="0"/>
              <w:tl2br w:val="nil"/>
              <w:tr2bl w:val="nil"/>
            </w:tcBorders>
            <w:vAlign w:val="center"/>
          </w:tcPr>
          <w:p w14:paraId="26710A88">
            <w:pPr>
              <w:widowControl/>
              <w:jc w:val="center"/>
              <w:textAlignment w:val="center"/>
              <w:rPr>
                <w:rFonts w:eastAsia="仿宋"/>
                <w:kern w:val="0"/>
                <w:sz w:val="24"/>
              </w:rPr>
            </w:pPr>
            <w:r>
              <w:rPr>
                <w:rFonts w:hint="eastAsia" w:eastAsia="仿宋"/>
                <w:kern w:val="0"/>
                <w:sz w:val="24"/>
              </w:rPr>
              <w:t>赵  彬</w:t>
            </w:r>
          </w:p>
        </w:tc>
        <w:tc>
          <w:tcPr>
            <w:tcW w:w="1597" w:type="dxa"/>
            <w:tcBorders>
              <w:top w:val="single" w:color="auto" w:sz="4" w:space="0"/>
              <w:left w:val="nil"/>
              <w:bottom w:val="single" w:color="auto" w:sz="4" w:space="0"/>
              <w:right w:val="single" w:color="auto" w:sz="4" w:space="0"/>
              <w:tl2br w:val="nil"/>
              <w:tr2bl w:val="nil"/>
            </w:tcBorders>
            <w:vAlign w:val="center"/>
          </w:tcPr>
          <w:p w14:paraId="59ADD7ED">
            <w:pPr>
              <w:widowControl/>
              <w:jc w:val="left"/>
              <w:textAlignment w:val="center"/>
              <w:rPr>
                <w:rFonts w:eastAsia="仿宋"/>
                <w:kern w:val="0"/>
                <w:sz w:val="24"/>
              </w:rPr>
            </w:pPr>
            <w:r>
              <w:rPr>
                <w:rFonts w:eastAsia="仿宋"/>
                <w:kern w:val="0"/>
                <w:sz w:val="24"/>
              </w:rPr>
              <w:t>23039857</w:t>
            </w:r>
          </w:p>
        </w:tc>
      </w:tr>
      <w:tr w14:paraId="4EE27D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5328681A"/>
        </w:tc>
        <w:tc>
          <w:tcPr>
            <w:tcW w:w="1418" w:type="dxa"/>
            <w:vMerge w:val="continue"/>
            <w:tcBorders>
              <w:top w:val="nil"/>
              <w:left w:val="nil"/>
              <w:bottom w:val="single" w:color="auto" w:sz="4" w:space="0"/>
              <w:right w:val="single" w:color="auto" w:sz="4" w:space="0"/>
              <w:tl2br w:val="nil"/>
              <w:tr2bl w:val="nil"/>
            </w:tcBorders>
            <w:vAlign w:val="center"/>
          </w:tcPr>
          <w:p w14:paraId="502E8795"/>
        </w:tc>
        <w:tc>
          <w:tcPr>
            <w:tcW w:w="3474" w:type="dxa"/>
            <w:tcBorders>
              <w:top w:val="single" w:color="auto" w:sz="4" w:space="0"/>
              <w:left w:val="nil"/>
              <w:bottom w:val="single" w:color="auto" w:sz="4" w:space="0"/>
              <w:right w:val="single" w:color="auto" w:sz="4" w:space="0"/>
              <w:tl2br w:val="nil"/>
              <w:tr2bl w:val="nil"/>
            </w:tcBorders>
            <w:vAlign w:val="center"/>
          </w:tcPr>
          <w:p w14:paraId="24144CAD">
            <w:pPr>
              <w:widowControl/>
              <w:jc w:val="left"/>
              <w:textAlignment w:val="center"/>
              <w:rPr>
                <w:rFonts w:eastAsia="仿宋"/>
                <w:kern w:val="0"/>
                <w:sz w:val="24"/>
              </w:rPr>
            </w:pPr>
            <w:r>
              <w:rPr>
                <w:rFonts w:hint="eastAsia" w:eastAsia="仿宋"/>
                <w:kern w:val="0"/>
                <w:sz w:val="24"/>
              </w:rPr>
              <w:t>海外专利布局</w:t>
            </w:r>
          </w:p>
        </w:tc>
        <w:tc>
          <w:tcPr>
            <w:tcW w:w="1188" w:type="dxa"/>
            <w:tcBorders>
              <w:top w:val="single" w:color="auto" w:sz="4" w:space="0"/>
              <w:left w:val="nil"/>
              <w:bottom w:val="single" w:color="auto" w:sz="4" w:space="0"/>
              <w:right w:val="single" w:color="auto" w:sz="4" w:space="0"/>
              <w:tl2br w:val="nil"/>
              <w:tr2bl w:val="nil"/>
            </w:tcBorders>
            <w:vAlign w:val="center"/>
          </w:tcPr>
          <w:p w14:paraId="39CE51C1">
            <w:pPr>
              <w:widowControl/>
              <w:jc w:val="center"/>
              <w:textAlignment w:val="center"/>
              <w:rPr>
                <w:rFonts w:eastAsia="仿宋"/>
                <w:kern w:val="0"/>
                <w:sz w:val="24"/>
              </w:rPr>
            </w:pPr>
            <w:r>
              <w:rPr>
                <w:rFonts w:hint="eastAsia" w:eastAsia="仿宋"/>
                <w:kern w:val="0"/>
                <w:sz w:val="24"/>
              </w:rPr>
              <w:t>王  霞</w:t>
            </w:r>
          </w:p>
        </w:tc>
        <w:tc>
          <w:tcPr>
            <w:tcW w:w="1597" w:type="dxa"/>
            <w:tcBorders>
              <w:top w:val="single" w:color="auto" w:sz="4" w:space="0"/>
              <w:left w:val="nil"/>
              <w:bottom w:val="single" w:color="auto" w:sz="4" w:space="0"/>
              <w:right w:val="single" w:color="auto" w:sz="4" w:space="0"/>
              <w:tl2br w:val="nil"/>
              <w:tr2bl w:val="nil"/>
            </w:tcBorders>
            <w:vAlign w:val="center"/>
          </w:tcPr>
          <w:p w14:paraId="3B2328D6">
            <w:pPr>
              <w:widowControl/>
              <w:jc w:val="left"/>
              <w:textAlignment w:val="center"/>
              <w:rPr>
                <w:rFonts w:eastAsia="仿宋"/>
                <w:kern w:val="0"/>
                <w:sz w:val="24"/>
              </w:rPr>
            </w:pPr>
            <w:r>
              <w:rPr>
                <w:rFonts w:eastAsia="仿宋"/>
                <w:kern w:val="0"/>
                <w:sz w:val="24"/>
              </w:rPr>
              <w:t>23039857</w:t>
            </w:r>
          </w:p>
        </w:tc>
      </w:tr>
      <w:tr w14:paraId="094876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61FFDB36"/>
        </w:tc>
        <w:tc>
          <w:tcPr>
            <w:tcW w:w="1418" w:type="dxa"/>
            <w:vMerge w:val="continue"/>
            <w:tcBorders>
              <w:top w:val="nil"/>
              <w:left w:val="nil"/>
              <w:bottom w:val="single" w:color="auto" w:sz="4" w:space="0"/>
              <w:right w:val="single" w:color="auto" w:sz="4" w:space="0"/>
              <w:tl2br w:val="nil"/>
              <w:tr2bl w:val="nil"/>
            </w:tcBorders>
            <w:vAlign w:val="center"/>
          </w:tcPr>
          <w:p w14:paraId="2F898EFE"/>
        </w:tc>
        <w:tc>
          <w:tcPr>
            <w:tcW w:w="3474" w:type="dxa"/>
            <w:tcBorders>
              <w:top w:val="single" w:color="auto" w:sz="4" w:space="0"/>
              <w:left w:val="nil"/>
              <w:bottom w:val="single" w:color="auto" w:sz="4" w:space="0"/>
              <w:right w:val="single" w:color="auto" w:sz="4" w:space="0"/>
              <w:tl2br w:val="nil"/>
              <w:tr2bl w:val="nil"/>
            </w:tcBorders>
            <w:vAlign w:val="center"/>
          </w:tcPr>
          <w:p w14:paraId="4B3F8116">
            <w:pPr>
              <w:widowControl/>
              <w:jc w:val="left"/>
              <w:textAlignment w:val="center"/>
              <w:rPr>
                <w:rFonts w:eastAsia="仿宋"/>
                <w:kern w:val="0"/>
                <w:sz w:val="24"/>
              </w:rPr>
            </w:pPr>
            <w:r>
              <w:rPr>
                <w:rFonts w:hint="eastAsia" w:eastAsia="仿宋"/>
                <w:kern w:val="0"/>
                <w:sz w:val="24"/>
              </w:rPr>
              <w:t>地理标志用标主体培育</w:t>
            </w:r>
          </w:p>
        </w:tc>
        <w:tc>
          <w:tcPr>
            <w:tcW w:w="1188" w:type="dxa"/>
            <w:tcBorders>
              <w:top w:val="single" w:color="auto" w:sz="4" w:space="0"/>
              <w:left w:val="nil"/>
              <w:bottom w:val="single" w:color="auto" w:sz="4" w:space="0"/>
              <w:right w:val="single" w:color="auto" w:sz="4" w:space="0"/>
              <w:tl2br w:val="nil"/>
              <w:tr2bl w:val="nil"/>
            </w:tcBorders>
            <w:vAlign w:val="center"/>
          </w:tcPr>
          <w:p w14:paraId="5E480886">
            <w:pPr>
              <w:widowControl/>
              <w:jc w:val="center"/>
              <w:textAlignment w:val="center"/>
              <w:rPr>
                <w:rFonts w:eastAsia="仿宋"/>
                <w:kern w:val="0"/>
                <w:sz w:val="24"/>
              </w:rPr>
            </w:pPr>
            <w:r>
              <w:rPr>
                <w:rFonts w:eastAsia="仿宋"/>
                <w:kern w:val="0"/>
                <w:sz w:val="24"/>
              </w:rPr>
              <w:t>马  博</w:t>
            </w:r>
          </w:p>
        </w:tc>
        <w:tc>
          <w:tcPr>
            <w:tcW w:w="1597" w:type="dxa"/>
            <w:tcBorders>
              <w:top w:val="single" w:color="auto" w:sz="4" w:space="0"/>
              <w:left w:val="nil"/>
              <w:bottom w:val="single" w:color="auto" w:sz="4" w:space="0"/>
              <w:right w:val="single" w:color="auto" w:sz="4" w:space="0"/>
              <w:tl2br w:val="nil"/>
              <w:tr2bl w:val="nil"/>
            </w:tcBorders>
            <w:vAlign w:val="center"/>
          </w:tcPr>
          <w:p w14:paraId="0C7BED3A">
            <w:pPr>
              <w:widowControl/>
              <w:jc w:val="left"/>
              <w:textAlignment w:val="center"/>
              <w:rPr>
                <w:rFonts w:eastAsia="仿宋"/>
                <w:kern w:val="0"/>
                <w:sz w:val="24"/>
              </w:rPr>
            </w:pPr>
            <w:r>
              <w:rPr>
                <w:rFonts w:eastAsia="仿宋"/>
                <w:kern w:val="0"/>
                <w:sz w:val="24"/>
              </w:rPr>
              <w:t>84493629</w:t>
            </w:r>
          </w:p>
        </w:tc>
      </w:tr>
      <w:tr w14:paraId="7E597D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7"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3C02812C"/>
        </w:tc>
        <w:tc>
          <w:tcPr>
            <w:tcW w:w="1418" w:type="dxa"/>
            <w:vMerge w:val="continue"/>
            <w:tcBorders>
              <w:top w:val="nil"/>
              <w:left w:val="nil"/>
              <w:bottom w:val="single" w:color="auto" w:sz="4" w:space="0"/>
              <w:right w:val="single" w:color="auto" w:sz="4" w:space="0"/>
              <w:tl2br w:val="nil"/>
              <w:tr2bl w:val="nil"/>
            </w:tcBorders>
            <w:vAlign w:val="center"/>
          </w:tcPr>
          <w:p w14:paraId="472241A3"/>
        </w:tc>
        <w:tc>
          <w:tcPr>
            <w:tcW w:w="3474" w:type="dxa"/>
            <w:tcBorders>
              <w:top w:val="single" w:color="auto" w:sz="4" w:space="0"/>
              <w:left w:val="nil"/>
              <w:bottom w:val="single" w:color="auto" w:sz="4" w:space="0"/>
              <w:right w:val="single" w:color="auto" w:sz="4" w:space="0"/>
              <w:tl2br w:val="nil"/>
              <w:tr2bl w:val="nil"/>
            </w:tcBorders>
            <w:vAlign w:val="center"/>
          </w:tcPr>
          <w:p w14:paraId="083CDD17">
            <w:pPr>
              <w:widowControl/>
              <w:jc w:val="left"/>
              <w:textAlignment w:val="center"/>
              <w:rPr>
                <w:rFonts w:eastAsia="仿宋"/>
                <w:kern w:val="0"/>
                <w:sz w:val="24"/>
              </w:rPr>
            </w:pPr>
            <w:r>
              <w:rPr>
                <w:rFonts w:eastAsia="仿宋"/>
                <w:kern w:val="0"/>
                <w:sz w:val="24"/>
              </w:rPr>
              <w:t>AAA知名商标品牌提升</w:t>
            </w:r>
          </w:p>
        </w:tc>
        <w:tc>
          <w:tcPr>
            <w:tcW w:w="1188" w:type="dxa"/>
            <w:tcBorders>
              <w:top w:val="single" w:color="auto" w:sz="4" w:space="0"/>
              <w:left w:val="nil"/>
              <w:bottom w:val="single" w:color="auto" w:sz="4" w:space="0"/>
              <w:right w:val="single" w:color="auto" w:sz="4" w:space="0"/>
              <w:tl2br w:val="nil"/>
              <w:tr2bl w:val="nil"/>
            </w:tcBorders>
            <w:vAlign w:val="center"/>
          </w:tcPr>
          <w:p w14:paraId="21FA6ACA">
            <w:pPr>
              <w:widowControl/>
              <w:jc w:val="center"/>
              <w:textAlignment w:val="center"/>
              <w:rPr>
                <w:rFonts w:eastAsia="仿宋"/>
                <w:kern w:val="0"/>
                <w:sz w:val="24"/>
              </w:rPr>
            </w:pPr>
            <w:r>
              <w:rPr>
                <w:rFonts w:eastAsia="仿宋"/>
                <w:kern w:val="0"/>
                <w:sz w:val="24"/>
              </w:rPr>
              <w:t>马  博</w:t>
            </w:r>
          </w:p>
        </w:tc>
        <w:tc>
          <w:tcPr>
            <w:tcW w:w="1597" w:type="dxa"/>
            <w:tcBorders>
              <w:top w:val="single" w:color="auto" w:sz="4" w:space="0"/>
              <w:left w:val="nil"/>
              <w:bottom w:val="single" w:color="auto" w:sz="4" w:space="0"/>
              <w:right w:val="single" w:color="auto" w:sz="4" w:space="0"/>
              <w:tl2br w:val="nil"/>
              <w:tr2bl w:val="nil"/>
            </w:tcBorders>
            <w:vAlign w:val="center"/>
          </w:tcPr>
          <w:p w14:paraId="1EDF7A09">
            <w:pPr>
              <w:widowControl/>
              <w:jc w:val="left"/>
              <w:textAlignment w:val="center"/>
              <w:rPr>
                <w:rFonts w:eastAsia="仿宋"/>
                <w:kern w:val="0"/>
                <w:sz w:val="24"/>
              </w:rPr>
            </w:pPr>
            <w:r>
              <w:rPr>
                <w:rFonts w:eastAsia="仿宋"/>
                <w:kern w:val="0"/>
                <w:sz w:val="24"/>
              </w:rPr>
              <w:t>84493629</w:t>
            </w:r>
          </w:p>
        </w:tc>
      </w:tr>
      <w:tr w14:paraId="335139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0" w:hRule="atLeast"/>
          <w:jc w:val="center"/>
        </w:trPr>
        <w:tc>
          <w:tcPr>
            <w:tcW w:w="697" w:type="dxa"/>
            <w:vMerge w:val="restart"/>
            <w:tcBorders>
              <w:top w:val="nil"/>
              <w:left w:val="single" w:color="auto" w:sz="4" w:space="0"/>
              <w:bottom w:val="single" w:color="auto" w:sz="4" w:space="0"/>
              <w:right w:val="single" w:color="auto" w:sz="4" w:space="0"/>
              <w:tl2br w:val="nil"/>
              <w:tr2bl w:val="nil"/>
            </w:tcBorders>
            <w:vAlign w:val="center"/>
          </w:tcPr>
          <w:p w14:paraId="4A1DE2D0">
            <w:pPr>
              <w:widowControl/>
              <w:jc w:val="center"/>
              <w:textAlignment w:val="center"/>
              <w:rPr>
                <w:rFonts w:eastAsia="仿宋"/>
                <w:kern w:val="0"/>
                <w:sz w:val="24"/>
              </w:rPr>
            </w:pPr>
            <w:r>
              <w:rPr>
                <w:rFonts w:eastAsia="仿宋"/>
                <w:kern w:val="0"/>
                <w:sz w:val="24"/>
              </w:rPr>
              <w:t>2</w:t>
            </w:r>
          </w:p>
        </w:tc>
        <w:tc>
          <w:tcPr>
            <w:tcW w:w="1418" w:type="dxa"/>
            <w:vMerge w:val="restart"/>
            <w:tcBorders>
              <w:top w:val="nil"/>
              <w:left w:val="nil"/>
              <w:bottom w:val="single" w:color="auto" w:sz="4" w:space="0"/>
              <w:right w:val="single" w:color="auto" w:sz="4" w:space="0"/>
              <w:tl2br w:val="nil"/>
              <w:tr2bl w:val="nil"/>
            </w:tcBorders>
            <w:vAlign w:val="center"/>
          </w:tcPr>
          <w:p w14:paraId="77930FD0">
            <w:pPr>
              <w:widowControl/>
              <w:jc w:val="center"/>
              <w:textAlignment w:val="center"/>
              <w:rPr>
                <w:rFonts w:eastAsia="仿宋"/>
                <w:sz w:val="24"/>
              </w:rPr>
            </w:pPr>
            <w:r>
              <w:rPr>
                <w:rFonts w:hint="eastAsia" w:eastAsia="仿宋"/>
                <w:kern w:val="0"/>
                <w:sz w:val="24"/>
              </w:rPr>
              <w:t>知识产权运营体系建设项目</w:t>
            </w:r>
          </w:p>
        </w:tc>
        <w:tc>
          <w:tcPr>
            <w:tcW w:w="3474" w:type="dxa"/>
            <w:tcBorders>
              <w:top w:val="single" w:color="auto" w:sz="4" w:space="0"/>
              <w:left w:val="nil"/>
              <w:bottom w:val="single" w:color="auto" w:sz="4" w:space="0"/>
              <w:right w:val="single" w:color="auto" w:sz="4" w:space="0"/>
              <w:tl2br w:val="nil"/>
              <w:tr2bl w:val="nil"/>
            </w:tcBorders>
            <w:vAlign w:val="center"/>
          </w:tcPr>
          <w:p w14:paraId="5FD29EFD">
            <w:pPr>
              <w:widowControl/>
              <w:jc w:val="left"/>
              <w:textAlignment w:val="center"/>
              <w:rPr>
                <w:rFonts w:eastAsia="仿宋"/>
                <w:kern w:val="0"/>
                <w:sz w:val="24"/>
              </w:rPr>
            </w:pPr>
            <w:r>
              <w:rPr>
                <w:rFonts w:hint="eastAsia" w:eastAsia="仿宋"/>
                <w:kern w:val="0"/>
                <w:sz w:val="24"/>
              </w:rPr>
              <w:t>高校院所</w:t>
            </w:r>
            <w:r>
              <w:rPr>
                <w:rFonts w:eastAsia="仿宋"/>
                <w:kern w:val="0"/>
                <w:sz w:val="24"/>
              </w:rPr>
              <w:t>重点专利产业化</w:t>
            </w:r>
          </w:p>
        </w:tc>
        <w:tc>
          <w:tcPr>
            <w:tcW w:w="1188" w:type="dxa"/>
            <w:tcBorders>
              <w:top w:val="single" w:color="auto" w:sz="4" w:space="0"/>
              <w:left w:val="nil"/>
              <w:bottom w:val="single" w:color="auto" w:sz="4" w:space="0"/>
              <w:right w:val="single" w:color="auto" w:sz="4" w:space="0"/>
              <w:tl2br w:val="nil"/>
              <w:tr2bl w:val="nil"/>
            </w:tcBorders>
            <w:vAlign w:val="center"/>
          </w:tcPr>
          <w:p w14:paraId="2E2A36A3">
            <w:pPr>
              <w:widowControl/>
              <w:jc w:val="center"/>
              <w:textAlignment w:val="center"/>
              <w:rPr>
                <w:rFonts w:eastAsia="仿宋"/>
                <w:kern w:val="0"/>
                <w:sz w:val="24"/>
              </w:rPr>
            </w:pPr>
            <w:r>
              <w:rPr>
                <w:rFonts w:hint="eastAsia" w:eastAsia="仿宋"/>
                <w:kern w:val="0"/>
                <w:sz w:val="24"/>
              </w:rPr>
              <w:t>张相凯</w:t>
            </w:r>
          </w:p>
        </w:tc>
        <w:tc>
          <w:tcPr>
            <w:tcW w:w="1597" w:type="dxa"/>
            <w:tcBorders>
              <w:top w:val="single" w:color="auto" w:sz="4" w:space="0"/>
              <w:left w:val="nil"/>
              <w:bottom w:val="single" w:color="auto" w:sz="4" w:space="0"/>
              <w:right w:val="single" w:color="auto" w:sz="4" w:space="0"/>
              <w:tl2br w:val="nil"/>
              <w:tr2bl w:val="nil"/>
            </w:tcBorders>
            <w:vAlign w:val="center"/>
          </w:tcPr>
          <w:p w14:paraId="247EE62E">
            <w:pPr>
              <w:widowControl/>
              <w:jc w:val="left"/>
              <w:textAlignment w:val="center"/>
              <w:rPr>
                <w:rFonts w:eastAsia="仿宋"/>
                <w:kern w:val="0"/>
                <w:sz w:val="24"/>
              </w:rPr>
            </w:pPr>
            <w:r>
              <w:rPr>
                <w:rFonts w:eastAsia="仿宋"/>
                <w:kern w:val="0"/>
                <w:sz w:val="24"/>
              </w:rPr>
              <w:t>23039887</w:t>
            </w:r>
          </w:p>
        </w:tc>
      </w:tr>
      <w:tr w14:paraId="2BF36B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5"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4E23EF3A"/>
        </w:tc>
        <w:tc>
          <w:tcPr>
            <w:tcW w:w="1418" w:type="dxa"/>
            <w:vMerge w:val="continue"/>
            <w:tcBorders>
              <w:top w:val="nil"/>
              <w:left w:val="nil"/>
              <w:bottom w:val="single" w:color="auto" w:sz="4" w:space="0"/>
              <w:right w:val="single" w:color="auto" w:sz="4" w:space="0"/>
              <w:tl2br w:val="nil"/>
              <w:tr2bl w:val="nil"/>
            </w:tcBorders>
            <w:vAlign w:val="center"/>
          </w:tcPr>
          <w:p w14:paraId="539D57EA"/>
        </w:tc>
        <w:tc>
          <w:tcPr>
            <w:tcW w:w="3474" w:type="dxa"/>
            <w:tcBorders>
              <w:top w:val="single" w:color="auto" w:sz="4" w:space="0"/>
              <w:left w:val="nil"/>
              <w:bottom w:val="single" w:color="auto" w:sz="4" w:space="0"/>
              <w:right w:val="single" w:color="auto" w:sz="4" w:space="0"/>
              <w:tl2br w:val="nil"/>
              <w:tr2bl w:val="nil"/>
            </w:tcBorders>
            <w:vAlign w:val="center"/>
          </w:tcPr>
          <w:p w14:paraId="56428FA9">
            <w:pPr>
              <w:widowControl/>
              <w:jc w:val="left"/>
              <w:textAlignment w:val="center"/>
              <w:rPr>
                <w:rFonts w:eastAsia="仿宋"/>
                <w:kern w:val="0"/>
                <w:sz w:val="24"/>
              </w:rPr>
            </w:pPr>
            <w:r>
              <w:rPr>
                <w:rFonts w:eastAsia="仿宋"/>
                <w:kern w:val="0"/>
                <w:sz w:val="24"/>
              </w:rPr>
              <w:t>专利转化运用协同</w:t>
            </w:r>
          </w:p>
        </w:tc>
        <w:tc>
          <w:tcPr>
            <w:tcW w:w="1188" w:type="dxa"/>
            <w:tcBorders>
              <w:top w:val="single" w:color="auto" w:sz="4" w:space="0"/>
              <w:left w:val="nil"/>
              <w:bottom w:val="single" w:color="auto" w:sz="4" w:space="0"/>
              <w:right w:val="single" w:color="auto" w:sz="4" w:space="0"/>
              <w:tl2br w:val="nil"/>
              <w:tr2bl w:val="nil"/>
            </w:tcBorders>
            <w:vAlign w:val="center"/>
          </w:tcPr>
          <w:p w14:paraId="528E3690">
            <w:pPr>
              <w:widowControl/>
              <w:jc w:val="center"/>
              <w:textAlignment w:val="center"/>
              <w:rPr>
                <w:rFonts w:eastAsia="仿宋"/>
                <w:kern w:val="0"/>
                <w:sz w:val="24"/>
              </w:rPr>
            </w:pPr>
            <w:r>
              <w:rPr>
                <w:rFonts w:hint="eastAsia" w:eastAsia="仿宋"/>
                <w:kern w:val="0"/>
                <w:sz w:val="24"/>
              </w:rPr>
              <w:t>张相凯</w:t>
            </w:r>
          </w:p>
        </w:tc>
        <w:tc>
          <w:tcPr>
            <w:tcW w:w="1597" w:type="dxa"/>
            <w:tcBorders>
              <w:top w:val="single" w:color="auto" w:sz="4" w:space="0"/>
              <w:left w:val="nil"/>
              <w:bottom w:val="single" w:color="auto" w:sz="4" w:space="0"/>
              <w:right w:val="single" w:color="auto" w:sz="4" w:space="0"/>
              <w:tl2br w:val="nil"/>
              <w:tr2bl w:val="nil"/>
            </w:tcBorders>
            <w:vAlign w:val="center"/>
          </w:tcPr>
          <w:p w14:paraId="34D008EE">
            <w:pPr>
              <w:widowControl/>
              <w:jc w:val="left"/>
              <w:textAlignment w:val="center"/>
              <w:rPr>
                <w:rFonts w:eastAsia="仿宋"/>
                <w:kern w:val="0"/>
                <w:sz w:val="24"/>
              </w:rPr>
            </w:pPr>
            <w:r>
              <w:rPr>
                <w:rFonts w:eastAsia="仿宋"/>
                <w:kern w:val="0"/>
                <w:sz w:val="24"/>
              </w:rPr>
              <w:t>23039887</w:t>
            </w:r>
          </w:p>
        </w:tc>
      </w:tr>
      <w:tr w14:paraId="199F29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5" w:hRule="atLeast"/>
          <w:jc w:val="center"/>
        </w:trPr>
        <w:tc>
          <w:tcPr>
            <w:tcW w:w="697" w:type="dxa"/>
            <w:vMerge w:val="restart"/>
            <w:tcBorders>
              <w:top w:val="nil"/>
              <w:left w:val="single" w:color="auto" w:sz="4" w:space="0"/>
              <w:bottom w:val="single" w:color="auto" w:sz="4" w:space="0"/>
              <w:right w:val="single" w:color="auto" w:sz="4" w:space="0"/>
              <w:tl2br w:val="nil"/>
              <w:tr2bl w:val="nil"/>
            </w:tcBorders>
            <w:vAlign w:val="center"/>
          </w:tcPr>
          <w:p w14:paraId="346C1933">
            <w:pPr>
              <w:widowControl/>
              <w:jc w:val="center"/>
              <w:textAlignment w:val="center"/>
              <w:rPr>
                <w:rFonts w:eastAsia="仿宋"/>
                <w:sz w:val="24"/>
              </w:rPr>
            </w:pPr>
            <w:r>
              <w:rPr>
                <w:rFonts w:eastAsia="仿宋"/>
                <w:sz w:val="24"/>
              </w:rPr>
              <w:t>3</w:t>
            </w:r>
          </w:p>
        </w:tc>
        <w:tc>
          <w:tcPr>
            <w:tcW w:w="1418" w:type="dxa"/>
            <w:vMerge w:val="restart"/>
            <w:tcBorders>
              <w:top w:val="nil"/>
              <w:left w:val="nil"/>
              <w:bottom w:val="single" w:color="auto" w:sz="4" w:space="0"/>
              <w:right w:val="single" w:color="auto" w:sz="4" w:space="0"/>
              <w:tl2br w:val="nil"/>
              <w:tr2bl w:val="nil"/>
            </w:tcBorders>
            <w:vAlign w:val="center"/>
          </w:tcPr>
          <w:p w14:paraId="320F77A5">
            <w:pPr>
              <w:widowControl/>
              <w:jc w:val="center"/>
              <w:textAlignment w:val="center"/>
              <w:rPr>
                <w:rFonts w:eastAsia="仿宋"/>
                <w:kern w:val="0"/>
                <w:sz w:val="24"/>
              </w:rPr>
            </w:pPr>
            <w:r>
              <w:rPr>
                <w:rFonts w:hint="eastAsia" w:eastAsia="仿宋"/>
                <w:kern w:val="0"/>
                <w:sz w:val="24"/>
              </w:rPr>
              <w:t>知识产权保护体系建设项目</w:t>
            </w:r>
          </w:p>
        </w:tc>
        <w:tc>
          <w:tcPr>
            <w:tcW w:w="3474" w:type="dxa"/>
            <w:tcBorders>
              <w:top w:val="single" w:color="auto" w:sz="4" w:space="0"/>
              <w:left w:val="nil"/>
              <w:bottom w:val="single" w:color="auto" w:sz="4" w:space="0"/>
              <w:right w:val="single" w:color="auto" w:sz="4" w:space="0"/>
              <w:tl2br w:val="nil"/>
              <w:tr2bl w:val="nil"/>
            </w:tcBorders>
            <w:vAlign w:val="center"/>
          </w:tcPr>
          <w:p w14:paraId="166DBEAC">
            <w:pPr>
              <w:widowControl/>
              <w:jc w:val="left"/>
              <w:textAlignment w:val="center"/>
              <w:rPr>
                <w:rFonts w:eastAsia="仿宋"/>
                <w:kern w:val="0"/>
                <w:sz w:val="24"/>
              </w:rPr>
            </w:pPr>
            <w:r>
              <w:rPr>
                <w:rFonts w:eastAsia="仿宋"/>
                <w:kern w:val="0"/>
                <w:sz w:val="24"/>
              </w:rPr>
              <w:t>重点区域专利行政保护试点</w:t>
            </w:r>
          </w:p>
        </w:tc>
        <w:tc>
          <w:tcPr>
            <w:tcW w:w="1188" w:type="dxa"/>
            <w:tcBorders>
              <w:top w:val="single" w:color="auto" w:sz="4" w:space="0"/>
              <w:left w:val="nil"/>
              <w:bottom w:val="single" w:color="auto" w:sz="4" w:space="0"/>
              <w:right w:val="single" w:color="auto" w:sz="4" w:space="0"/>
              <w:tl2br w:val="nil"/>
              <w:tr2bl w:val="nil"/>
            </w:tcBorders>
            <w:vAlign w:val="center"/>
          </w:tcPr>
          <w:p w14:paraId="0B389C23">
            <w:pPr>
              <w:widowControl/>
              <w:jc w:val="center"/>
              <w:textAlignment w:val="center"/>
              <w:rPr>
                <w:rFonts w:eastAsia="仿宋"/>
                <w:kern w:val="0"/>
                <w:sz w:val="24"/>
              </w:rPr>
            </w:pPr>
            <w:r>
              <w:rPr>
                <w:rFonts w:eastAsia="仿宋"/>
                <w:kern w:val="0"/>
                <w:sz w:val="24"/>
              </w:rPr>
              <w:t>张剑光</w:t>
            </w:r>
          </w:p>
        </w:tc>
        <w:tc>
          <w:tcPr>
            <w:tcW w:w="1597" w:type="dxa"/>
            <w:tcBorders>
              <w:top w:val="single" w:color="auto" w:sz="4" w:space="0"/>
              <w:left w:val="nil"/>
              <w:bottom w:val="single" w:color="auto" w:sz="4" w:space="0"/>
              <w:right w:val="single" w:color="auto" w:sz="4" w:space="0"/>
              <w:tl2br w:val="nil"/>
              <w:tr2bl w:val="nil"/>
            </w:tcBorders>
            <w:vAlign w:val="center"/>
          </w:tcPr>
          <w:p w14:paraId="15CAA16A">
            <w:pPr>
              <w:widowControl/>
              <w:jc w:val="left"/>
              <w:textAlignment w:val="center"/>
              <w:rPr>
                <w:rFonts w:eastAsia="仿宋"/>
                <w:kern w:val="0"/>
                <w:sz w:val="24"/>
              </w:rPr>
            </w:pPr>
            <w:r>
              <w:rPr>
                <w:rFonts w:eastAsia="仿宋"/>
                <w:kern w:val="0"/>
                <w:sz w:val="24"/>
              </w:rPr>
              <w:t>23039863</w:t>
            </w:r>
          </w:p>
        </w:tc>
      </w:tr>
      <w:tr w14:paraId="378252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0A17B7A6"/>
        </w:tc>
        <w:tc>
          <w:tcPr>
            <w:tcW w:w="1418" w:type="dxa"/>
            <w:vMerge w:val="continue"/>
            <w:tcBorders>
              <w:top w:val="nil"/>
              <w:left w:val="nil"/>
              <w:bottom w:val="single" w:color="auto" w:sz="4" w:space="0"/>
              <w:right w:val="single" w:color="auto" w:sz="4" w:space="0"/>
              <w:tl2br w:val="nil"/>
              <w:tr2bl w:val="nil"/>
            </w:tcBorders>
            <w:vAlign w:val="center"/>
          </w:tcPr>
          <w:p w14:paraId="4AED1347"/>
        </w:tc>
        <w:tc>
          <w:tcPr>
            <w:tcW w:w="3474" w:type="dxa"/>
            <w:tcBorders>
              <w:top w:val="single" w:color="auto" w:sz="4" w:space="0"/>
              <w:left w:val="nil"/>
              <w:bottom w:val="single" w:color="auto" w:sz="4" w:space="0"/>
              <w:right w:val="single" w:color="auto" w:sz="4" w:space="0"/>
              <w:tl2br w:val="nil"/>
              <w:tr2bl w:val="nil"/>
            </w:tcBorders>
            <w:vAlign w:val="center"/>
          </w:tcPr>
          <w:p w14:paraId="04095893">
            <w:pPr>
              <w:widowControl/>
              <w:jc w:val="left"/>
              <w:textAlignment w:val="center"/>
              <w:rPr>
                <w:rFonts w:eastAsia="仿宋"/>
                <w:kern w:val="0"/>
                <w:sz w:val="24"/>
              </w:rPr>
            </w:pPr>
            <w:r>
              <w:rPr>
                <w:rFonts w:hint="eastAsia" w:eastAsia="仿宋"/>
                <w:kern w:val="0"/>
                <w:sz w:val="24"/>
              </w:rPr>
              <w:t>企业海外纠纷应对指导</w:t>
            </w:r>
          </w:p>
        </w:tc>
        <w:tc>
          <w:tcPr>
            <w:tcW w:w="1188" w:type="dxa"/>
            <w:tcBorders>
              <w:top w:val="single" w:color="auto" w:sz="4" w:space="0"/>
              <w:left w:val="nil"/>
              <w:bottom w:val="single" w:color="auto" w:sz="4" w:space="0"/>
              <w:right w:val="single" w:color="auto" w:sz="4" w:space="0"/>
              <w:tl2br w:val="nil"/>
              <w:tr2bl w:val="nil"/>
            </w:tcBorders>
            <w:vAlign w:val="center"/>
          </w:tcPr>
          <w:p w14:paraId="7597A158">
            <w:pPr>
              <w:widowControl/>
              <w:jc w:val="center"/>
              <w:textAlignment w:val="center"/>
              <w:rPr>
                <w:rFonts w:eastAsia="仿宋"/>
                <w:kern w:val="0"/>
                <w:sz w:val="24"/>
              </w:rPr>
            </w:pPr>
            <w:r>
              <w:rPr>
                <w:rFonts w:hint="eastAsia" w:eastAsia="仿宋"/>
                <w:kern w:val="0"/>
                <w:sz w:val="24"/>
              </w:rPr>
              <w:t>孙燕东</w:t>
            </w:r>
          </w:p>
        </w:tc>
        <w:tc>
          <w:tcPr>
            <w:tcW w:w="1597" w:type="dxa"/>
            <w:tcBorders>
              <w:top w:val="single" w:color="auto" w:sz="4" w:space="0"/>
              <w:left w:val="nil"/>
              <w:bottom w:val="single" w:color="auto" w:sz="4" w:space="0"/>
              <w:right w:val="single" w:color="auto" w:sz="4" w:space="0"/>
              <w:tl2br w:val="nil"/>
              <w:tr2bl w:val="nil"/>
            </w:tcBorders>
            <w:vAlign w:val="center"/>
          </w:tcPr>
          <w:p w14:paraId="551591AC">
            <w:pPr>
              <w:widowControl/>
              <w:jc w:val="left"/>
              <w:textAlignment w:val="center"/>
              <w:rPr>
                <w:rFonts w:eastAsia="仿宋"/>
                <w:kern w:val="0"/>
                <w:sz w:val="24"/>
              </w:rPr>
            </w:pPr>
            <w:r>
              <w:rPr>
                <w:rFonts w:eastAsia="仿宋"/>
                <w:kern w:val="0"/>
                <w:sz w:val="24"/>
              </w:rPr>
              <w:t>23039863</w:t>
            </w:r>
          </w:p>
        </w:tc>
      </w:tr>
      <w:tr w14:paraId="0BAF0F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5"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1D95328D"/>
        </w:tc>
        <w:tc>
          <w:tcPr>
            <w:tcW w:w="1418" w:type="dxa"/>
            <w:vMerge w:val="continue"/>
            <w:tcBorders>
              <w:top w:val="nil"/>
              <w:left w:val="nil"/>
              <w:bottom w:val="single" w:color="auto" w:sz="4" w:space="0"/>
              <w:right w:val="single" w:color="auto" w:sz="4" w:space="0"/>
              <w:tl2br w:val="nil"/>
              <w:tr2bl w:val="nil"/>
            </w:tcBorders>
            <w:vAlign w:val="center"/>
          </w:tcPr>
          <w:p w14:paraId="7FC1030A"/>
        </w:tc>
        <w:tc>
          <w:tcPr>
            <w:tcW w:w="3474" w:type="dxa"/>
            <w:tcBorders>
              <w:top w:val="single" w:color="auto" w:sz="4" w:space="0"/>
              <w:left w:val="nil"/>
              <w:bottom w:val="single" w:color="auto" w:sz="4" w:space="0"/>
              <w:right w:val="single" w:color="auto" w:sz="4" w:space="0"/>
              <w:tl2br w:val="nil"/>
              <w:tr2bl w:val="nil"/>
            </w:tcBorders>
            <w:vAlign w:val="center"/>
          </w:tcPr>
          <w:p w14:paraId="2A9EA333">
            <w:pPr>
              <w:widowControl/>
              <w:jc w:val="left"/>
              <w:textAlignment w:val="center"/>
              <w:rPr>
                <w:rFonts w:eastAsia="仿宋"/>
                <w:kern w:val="0"/>
                <w:sz w:val="24"/>
              </w:rPr>
            </w:pPr>
            <w:r>
              <w:rPr>
                <w:rFonts w:hint="eastAsia" w:eastAsia="仿宋"/>
                <w:kern w:val="0"/>
                <w:sz w:val="24"/>
              </w:rPr>
              <w:t>海外知识产权公益性维权援助</w:t>
            </w:r>
          </w:p>
        </w:tc>
        <w:tc>
          <w:tcPr>
            <w:tcW w:w="1188" w:type="dxa"/>
            <w:tcBorders>
              <w:top w:val="single" w:color="auto" w:sz="4" w:space="0"/>
              <w:left w:val="nil"/>
              <w:bottom w:val="single" w:color="auto" w:sz="4" w:space="0"/>
              <w:right w:val="single" w:color="auto" w:sz="4" w:space="0"/>
              <w:tl2br w:val="nil"/>
              <w:tr2bl w:val="nil"/>
            </w:tcBorders>
            <w:vAlign w:val="center"/>
          </w:tcPr>
          <w:p w14:paraId="22E7AC14">
            <w:pPr>
              <w:widowControl/>
              <w:jc w:val="center"/>
              <w:textAlignment w:val="center"/>
              <w:rPr>
                <w:rFonts w:eastAsia="仿宋"/>
                <w:kern w:val="0"/>
                <w:sz w:val="24"/>
              </w:rPr>
            </w:pPr>
            <w:r>
              <w:rPr>
                <w:rFonts w:hint="eastAsia" w:eastAsia="仿宋"/>
                <w:kern w:val="0"/>
                <w:sz w:val="24"/>
              </w:rPr>
              <w:t>曲  达</w:t>
            </w:r>
          </w:p>
        </w:tc>
        <w:tc>
          <w:tcPr>
            <w:tcW w:w="1597" w:type="dxa"/>
            <w:tcBorders>
              <w:top w:val="single" w:color="auto" w:sz="4" w:space="0"/>
              <w:left w:val="nil"/>
              <w:bottom w:val="single" w:color="auto" w:sz="4" w:space="0"/>
              <w:right w:val="single" w:color="auto" w:sz="4" w:space="0"/>
              <w:tl2br w:val="nil"/>
              <w:tr2bl w:val="nil"/>
            </w:tcBorders>
            <w:vAlign w:val="center"/>
          </w:tcPr>
          <w:p w14:paraId="2CC138DC">
            <w:pPr>
              <w:widowControl/>
              <w:jc w:val="left"/>
              <w:textAlignment w:val="center"/>
              <w:rPr>
                <w:rFonts w:eastAsia="仿宋"/>
                <w:kern w:val="0"/>
                <w:sz w:val="24"/>
              </w:rPr>
            </w:pPr>
            <w:r>
              <w:rPr>
                <w:rFonts w:eastAsia="仿宋"/>
                <w:kern w:val="0"/>
                <w:sz w:val="24"/>
              </w:rPr>
              <w:t>23039863</w:t>
            </w:r>
          </w:p>
        </w:tc>
      </w:tr>
      <w:tr w14:paraId="0579D5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55E85D4B"/>
        </w:tc>
        <w:tc>
          <w:tcPr>
            <w:tcW w:w="1418" w:type="dxa"/>
            <w:vMerge w:val="continue"/>
            <w:tcBorders>
              <w:top w:val="nil"/>
              <w:left w:val="nil"/>
              <w:bottom w:val="single" w:color="auto" w:sz="4" w:space="0"/>
              <w:right w:val="single" w:color="auto" w:sz="4" w:space="0"/>
              <w:tl2br w:val="nil"/>
              <w:tr2bl w:val="nil"/>
            </w:tcBorders>
            <w:vAlign w:val="center"/>
          </w:tcPr>
          <w:p w14:paraId="4E4FE0AF"/>
        </w:tc>
        <w:tc>
          <w:tcPr>
            <w:tcW w:w="3474" w:type="dxa"/>
            <w:tcBorders>
              <w:top w:val="single" w:color="auto" w:sz="4" w:space="0"/>
              <w:left w:val="nil"/>
              <w:bottom w:val="single" w:color="auto" w:sz="4" w:space="0"/>
              <w:right w:val="single" w:color="auto" w:sz="4" w:space="0"/>
              <w:tl2br w:val="nil"/>
              <w:tr2bl w:val="nil"/>
            </w:tcBorders>
            <w:vAlign w:val="center"/>
          </w:tcPr>
          <w:p w14:paraId="696B7CA1">
            <w:pPr>
              <w:widowControl/>
              <w:jc w:val="left"/>
              <w:textAlignment w:val="center"/>
              <w:rPr>
                <w:rFonts w:eastAsia="仿宋"/>
                <w:kern w:val="0"/>
                <w:sz w:val="24"/>
              </w:rPr>
            </w:pPr>
            <w:r>
              <w:rPr>
                <w:rFonts w:eastAsia="仿宋"/>
                <w:kern w:val="0"/>
                <w:sz w:val="24"/>
              </w:rPr>
              <w:t>重点行业知识产权保护服务</w:t>
            </w:r>
          </w:p>
        </w:tc>
        <w:tc>
          <w:tcPr>
            <w:tcW w:w="1188" w:type="dxa"/>
            <w:tcBorders>
              <w:top w:val="single" w:color="auto" w:sz="4" w:space="0"/>
              <w:left w:val="nil"/>
              <w:bottom w:val="single" w:color="auto" w:sz="4" w:space="0"/>
              <w:right w:val="single" w:color="auto" w:sz="4" w:space="0"/>
              <w:tl2br w:val="nil"/>
              <w:tr2bl w:val="nil"/>
            </w:tcBorders>
            <w:vAlign w:val="center"/>
          </w:tcPr>
          <w:p w14:paraId="5B990B45">
            <w:pPr>
              <w:widowControl/>
              <w:jc w:val="center"/>
              <w:textAlignment w:val="center"/>
              <w:rPr>
                <w:rFonts w:eastAsia="仿宋"/>
                <w:kern w:val="0"/>
                <w:sz w:val="24"/>
              </w:rPr>
            </w:pPr>
            <w:r>
              <w:rPr>
                <w:rFonts w:eastAsia="仿宋"/>
                <w:kern w:val="0"/>
                <w:sz w:val="24"/>
              </w:rPr>
              <w:t>曲  达</w:t>
            </w:r>
          </w:p>
        </w:tc>
        <w:tc>
          <w:tcPr>
            <w:tcW w:w="1597" w:type="dxa"/>
            <w:tcBorders>
              <w:top w:val="single" w:color="auto" w:sz="4" w:space="0"/>
              <w:left w:val="nil"/>
              <w:bottom w:val="single" w:color="auto" w:sz="4" w:space="0"/>
              <w:right w:val="single" w:color="auto" w:sz="4" w:space="0"/>
              <w:tl2br w:val="nil"/>
              <w:tr2bl w:val="nil"/>
            </w:tcBorders>
            <w:vAlign w:val="center"/>
          </w:tcPr>
          <w:p w14:paraId="19524DA8">
            <w:pPr>
              <w:widowControl/>
              <w:jc w:val="left"/>
              <w:textAlignment w:val="center"/>
              <w:rPr>
                <w:rFonts w:eastAsia="仿宋"/>
                <w:kern w:val="0"/>
                <w:sz w:val="24"/>
              </w:rPr>
            </w:pPr>
            <w:r>
              <w:rPr>
                <w:rFonts w:eastAsia="仿宋"/>
                <w:kern w:val="0"/>
                <w:sz w:val="24"/>
              </w:rPr>
              <w:t>23039863</w:t>
            </w:r>
          </w:p>
        </w:tc>
      </w:tr>
      <w:tr w14:paraId="4DC5DD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2E04A8A0"/>
        </w:tc>
        <w:tc>
          <w:tcPr>
            <w:tcW w:w="1418" w:type="dxa"/>
            <w:vMerge w:val="continue"/>
            <w:tcBorders>
              <w:top w:val="nil"/>
              <w:left w:val="nil"/>
              <w:bottom w:val="single" w:color="auto" w:sz="4" w:space="0"/>
              <w:right w:val="single" w:color="auto" w:sz="4" w:space="0"/>
              <w:tl2br w:val="nil"/>
              <w:tr2bl w:val="nil"/>
            </w:tcBorders>
            <w:vAlign w:val="center"/>
          </w:tcPr>
          <w:p w14:paraId="03C5CBA2"/>
        </w:tc>
        <w:tc>
          <w:tcPr>
            <w:tcW w:w="3474" w:type="dxa"/>
            <w:tcBorders>
              <w:top w:val="single" w:color="auto" w:sz="4" w:space="0"/>
              <w:left w:val="nil"/>
              <w:bottom w:val="single" w:color="auto" w:sz="4" w:space="0"/>
              <w:right w:val="single" w:color="auto" w:sz="4" w:space="0"/>
              <w:tl2br w:val="nil"/>
              <w:tr2bl w:val="nil"/>
            </w:tcBorders>
            <w:vAlign w:val="center"/>
          </w:tcPr>
          <w:p w14:paraId="5621C098">
            <w:pPr>
              <w:widowControl/>
              <w:jc w:val="left"/>
              <w:textAlignment w:val="center"/>
              <w:rPr>
                <w:rFonts w:eastAsia="仿宋"/>
                <w:kern w:val="0"/>
                <w:sz w:val="24"/>
              </w:rPr>
            </w:pPr>
            <w:r>
              <w:rPr>
                <w:rFonts w:eastAsia="仿宋"/>
                <w:kern w:val="0"/>
                <w:sz w:val="24"/>
              </w:rPr>
              <w:t>区域知识产权维权援助</w:t>
            </w:r>
          </w:p>
        </w:tc>
        <w:tc>
          <w:tcPr>
            <w:tcW w:w="1188" w:type="dxa"/>
            <w:tcBorders>
              <w:top w:val="single" w:color="auto" w:sz="4" w:space="0"/>
              <w:left w:val="nil"/>
              <w:bottom w:val="single" w:color="auto" w:sz="4" w:space="0"/>
              <w:right w:val="single" w:color="auto" w:sz="4" w:space="0"/>
              <w:tl2br w:val="nil"/>
              <w:tr2bl w:val="nil"/>
            </w:tcBorders>
            <w:vAlign w:val="center"/>
          </w:tcPr>
          <w:p w14:paraId="67E670A4">
            <w:pPr>
              <w:widowControl/>
              <w:jc w:val="center"/>
              <w:textAlignment w:val="center"/>
              <w:rPr>
                <w:rFonts w:eastAsia="仿宋"/>
                <w:kern w:val="0"/>
                <w:sz w:val="24"/>
              </w:rPr>
            </w:pPr>
            <w:r>
              <w:rPr>
                <w:rFonts w:hint="eastAsia" w:eastAsia="仿宋"/>
                <w:kern w:val="0"/>
                <w:sz w:val="24"/>
              </w:rPr>
              <w:t>孙燕东</w:t>
            </w:r>
          </w:p>
        </w:tc>
        <w:tc>
          <w:tcPr>
            <w:tcW w:w="1597" w:type="dxa"/>
            <w:tcBorders>
              <w:top w:val="single" w:color="auto" w:sz="4" w:space="0"/>
              <w:left w:val="nil"/>
              <w:bottom w:val="single" w:color="auto" w:sz="4" w:space="0"/>
              <w:right w:val="single" w:color="auto" w:sz="4" w:space="0"/>
              <w:tl2br w:val="nil"/>
              <w:tr2bl w:val="nil"/>
            </w:tcBorders>
            <w:vAlign w:val="center"/>
          </w:tcPr>
          <w:p w14:paraId="0E7C333A">
            <w:pPr>
              <w:widowControl/>
              <w:jc w:val="left"/>
              <w:textAlignment w:val="center"/>
              <w:rPr>
                <w:rFonts w:eastAsia="仿宋"/>
                <w:kern w:val="0"/>
                <w:sz w:val="24"/>
              </w:rPr>
            </w:pPr>
            <w:r>
              <w:rPr>
                <w:rFonts w:eastAsia="仿宋"/>
                <w:kern w:val="0"/>
                <w:sz w:val="24"/>
              </w:rPr>
              <w:t>23039863</w:t>
            </w:r>
          </w:p>
        </w:tc>
      </w:tr>
      <w:tr w14:paraId="02842C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3ADF0312"/>
        </w:tc>
        <w:tc>
          <w:tcPr>
            <w:tcW w:w="1418" w:type="dxa"/>
            <w:vMerge w:val="continue"/>
            <w:tcBorders>
              <w:top w:val="nil"/>
              <w:left w:val="nil"/>
              <w:bottom w:val="single" w:color="auto" w:sz="4" w:space="0"/>
              <w:right w:val="single" w:color="auto" w:sz="4" w:space="0"/>
              <w:tl2br w:val="nil"/>
              <w:tr2bl w:val="nil"/>
            </w:tcBorders>
            <w:vAlign w:val="center"/>
          </w:tcPr>
          <w:p w14:paraId="188591B3"/>
        </w:tc>
        <w:tc>
          <w:tcPr>
            <w:tcW w:w="3474" w:type="dxa"/>
            <w:tcBorders>
              <w:top w:val="single" w:color="auto" w:sz="4" w:space="0"/>
              <w:left w:val="nil"/>
              <w:bottom w:val="single" w:color="auto" w:sz="4" w:space="0"/>
              <w:right w:val="single" w:color="auto" w:sz="4" w:space="0"/>
              <w:tl2br w:val="nil"/>
              <w:tr2bl w:val="nil"/>
            </w:tcBorders>
            <w:vAlign w:val="center"/>
          </w:tcPr>
          <w:p w14:paraId="5733306E">
            <w:pPr>
              <w:widowControl/>
              <w:jc w:val="left"/>
              <w:textAlignment w:val="center"/>
              <w:rPr>
                <w:rFonts w:eastAsia="仿宋"/>
                <w:kern w:val="0"/>
                <w:sz w:val="24"/>
              </w:rPr>
            </w:pPr>
            <w:r>
              <w:rPr>
                <w:rFonts w:hint="eastAsia" w:eastAsia="仿宋"/>
                <w:kern w:val="0"/>
                <w:sz w:val="24"/>
              </w:rPr>
              <w:t>知识产权保护督查和满意度调查</w:t>
            </w:r>
          </w:p>
        </w:tc>
        <w:tc>
          <w:tcPr>
            <w:tcW w:w="1188" w:type="dxa"/>
            <w:tcBorders>
              <w:top w:val="single" w:color="auto" w:sz="4" w:space="0"/>
              <w:left w:val="nil"/>
              <w:bottom w:val="single" w:color="auto" w:sz="4" w:space="0"/>
              <w:right w:val="single" w:color="auto" w:sz="4" w:space="0"/>
              <w:tl2br w:val="nil"/>
              <w:tr2bl w:val="nil"/>
            </w:tcBorders>
            <w:vAlign w:val="center"/>
          </w:tcPr>
          <w:p w14:paraId="61D5D2D6">
            <w:pPr>
              <w:widowControl/>
              <w:jc w:val="center"/>
              <w:textAlignment w:val="center"/>
              <w:rPr>
                <w:rFonts w:eastAsia="仿宋"/>
                <w:kern w:val="0"/>
                <w:sz w:val="24"/>
              </w:rPr>
            </w:pPr>
            <w:r>
              <w:rPr>
                <w:rFonts w:eastAsia="仿宋"/>
                <w:kern w:val="0"/>
                <w:sz w:val="24"/>
              </w:rPr>
              <w:t>曲  达</w:t>
            </w:r>
          </w:p>
        </w:tc>
        <w:tc>
          <w:tcPr>
            <w:tcW w:w="1597" w:type="dxa"/>
            <w:tcBorders>
              <w:top w:val="single" w:color="auto" w:sz="4" w:space="0"/>
              <w:left w:val="nil"/>
              <w:bottom w:val="single" w:color="auto" w:sz="4" w:space="0"/>
              <w:right w:val="single" w:color="auto" w:sz="4" w:space="0"/>
              <w:tl2br w:val="nil"/>
              <w:tr2bl w:val="nil"/>
            </w:tcBorders>
            <w:vAlign w:val="center"/>
          </w:tcPr>
          <w:p w14:paraId="630644A4">
            <w:pPr>
              <w:widowControl/>
              <w:jc w:val="left"/>
              <w:textAlignment w:val="center"/>
              <w:rPr>
                <w:rFonts w:eastAsia="仿宋"/>
                <w:kern w:val="0"/>
                <w:sz w:val="24"/>
              </w:rPr>
            </w:pPr>
            <w:r>
              <w:rPr>
                <w:rFonts w:eastAsia="仿宋"/>
                <w:kern w:val="0"/>
                <w:sz w:val="24"/>
              </w:rPr>
              <w:t>23039863</w:t>
            </w:r>
          </w:p>
        </w:tc>
      </w:tr>
      <w:tr w14:paraId="6F4E81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23B7C3E3"/>
        </w:tc>
        <w:tc>
          <w:tcPr>
            <w:tcW w:w="1418" w:type="dxa"/>
            <w:vMerge w:val="continue"/>
            <w:tcBorders>
              <w:top w:val="nil"/>
              <w:left w:val="nil"/>
              <w:bottom w:val="single" w:color="auto" w:sz="4" w:space="0"/>
              <w:right w:val="single" w:color="auto" w:sz="4" w:space="0"/>
              <w:tl2br w:val="nil"/>
              <w:tr2bl w:val="nil"/>
            </w:tcBorders>
            <w:vAlign w:val="center"/>
          </w:tcPr>
          <w:p w14:paraId="5BE2A844"/>
        </w:tc>
        <w:tc>
          <w:tcPr>
            <w:tcW w:w="3474" w:type="dxa"/>
            <w:tcBorders>
              <w:top w:val="single" w:color="auto" w:sz="4" w:space="0"/>
              <w:left w:val="nil"/>
              <w:bottom w:val="single" w:color="auto" w:sz="4" w:space="0"/>
              <w:right w:val="single" w:color="auto" w:sz="4" w:space="0"/>
              <w:tl2br w:val="nil"/>
              <w:tr2bl w:val="nil"/>
            </w:tcBorders>
            <w:vAlign w:val="center"/>
          </w:tcPr>
          <w:p w14:paraId="215E3084">
            <w:pPr>
              <w:widowControl/>
              <w:jc w:val="left"/>
              <w:textAlignment w:val="center"/>
              <w:rPr>
                <w:rFonts w:eastAsia="仿宋"/>
                <w:kern w:val="0"/>
                <w:sz w:val="24"/>
              </w:rPr>
            </w:pPr>
            <w:r>
              <w:rPr>
                <w:rFonts w:hint="eastAsia" w:eastAsia="仿宋"/>
                <w:kern w:val="0"/>
                <w:sz w:val="24"/>
              </w:rPr>
              <w:t>知识产权鉴定</w:t>
            </w:r>
          </w:p>
        </w:tc>
        <w:tc>
          <w:tcPr>
            <w:tcW w:w="1188" w:type="dxa"/>
            <w:tcBorders>
              <w:top w:val="single" w:color="auto" w:sz="4" w:space="0"/>
              <w:left w:val="nil"/>
              <w:bottom w:val="single" w:color="auto" w:sz="4" w:space="0"/>
              <w:right w:val="single" w:color="auto" w:sz="4" w:space="0"/>
              <w:tl2br w:val="nil"/>
              <w:tr2bl w:val="nil"/>
            </w:tcBorders>
            <w:vAlign w:val="center"/>
          </w:tcPr>
          <w:p w14:paraId="3577FC70">
            <w:pPr>
              <w:widowControl/>
              <w:jc w:val="center"/>
              <w:textAlignment w:val="center"/>
              <w:rPr>
                <w:rFonts w:eastAsia="仿宋"/>
                <w:kern w:val="0"/>
                <w:sz w:val="24"/>
              </w:rPr>
            </w:pPr>
            <w:r>
              <w:rPr>
                <w:rFonts w:eastAsia="仿宋"/>
                <w:kern w:val="0"/>
                <w:sz w:val="24"/>
              </w:rPr>
              <w:t>张剑光</w:t>
            </w:r>
          </w:p>
        </w:tc>
        <w:tc>
          <w:tcPr>
            <w:tcW w:w="1597" w:type="dxa"/>
            <w:tcBorders>
              <w:top w:val="single" w:color="auto" w:sz="4" w:space="0"/>
              <w:left w:val="nil"/>
              <w:bottom w:val="single" w:color="auto" w:sz="4" w:space="0"/>
              <w:right w:val="single" w:color="auto" w:sz="4" w:space="0"/>
              <w:tl2br w:val="nil"/>
              <w:tr2bl w:val="nil"/>
            </w:tcBorders>
            <w:vAlign w:val="center"/>
          </w:tcPr>
          <w:p w14:paraId="571C2F46">
            <w:pPr>
              <w:widowControl/>
              <w:jc w:val="left"/>
              <w:textAlignment w:val="center"/>
              <w:rPr>
                <w:rFonts w:eastAsia="仿宋"/>
                <w:kern w:val="0"/>
                <w:sz w:val="24"/>
              </w:rPr>
            </w:pPr>
            <w:r>
              <w:rPr>
                <w:rFonts w:eastAsia="仿宋"/>
                <w:kern w:val="0"/>
                <w:sz w:val="24"/>
              </w:rPr>
              <w:t>23039863</w:t>
            </w:r>
          </w:p>
        </w:tc>
      </w:tr>
      <w:tr w14:paraId="095940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31C7E2C7"/>
        </w:tc>
        <w:tc>
          <w:tcPr>
            <w:tcW w:w="1418" w:type="dxa"/>
            <w:vMerge w:val="continue"/>
            <w:tcBorders>
              <w:top w:val="nil"/>
              <w:left w:val="nil"/>
              <w:bottom w:val="single" w:color="auto" w:sz="4" w:space="0"/>
              <w:right w:val="single" w:color="auto" w:sz="4" w:space="0"/>
              <w:tl2br w:val="nil"/>
              <w:tr2bl w:val="nil"/>
            </w:tcBorders>
            <w:vAlign w:val="center"/>
          </w:tcPr>
          <w:p w14:paraId="5C53BE57"/>
        </w:tc>
        <w:tc>
          <w:tcPr>
            <w:tcW w:w="3474" w:type="dxa"/>
            <w:tcBorders>
              <w:top w:val="single" w:color="auto" w:sz="4" w:space="0"/>
              <w:left w:val="nil"/>
              <w:bottom w:val="single" w:color="auto" w:sz="4" w:space="0"/>
              <w:right w:val="single" w:color="auto" w:sz="4" w:space="0"/>
              <w:tl2br w:val="nil"/>
              <w:tr2bl w:val="nil"/>
            </w:tcBorders>
            <w:vAlign w:val="center"/>
          </w:tcPr>
          <w:p w14:paraId="13B9E57A">
            <w:pPr>
              <w:widowControl/>
              <w:jc w:val="left"/>
              <w:textAlignment w:val="center"/>
              <w:rPr>
                <w:rFonts w:eastAsia="仿宋"/>
                <w:kern w:val="0"/>
                <w:sz w:val="24"/>
              </w:rPr>
            </w:pPr>
            <w:r>
              <w:rPr>
                <w:rFonts w:eastAsia="仿宋"/>
                <w:kern w:val="0"/>
                <w:sz w:val="24"/>
              </w:rPr>
              <w:t>海外商标预警监测</w:t>
            </w:r>
          </w:p>
        </w:tc>
        <w:tc>
          <w:tcPr>
            <w:tcW w:w="1188" w:type="dxa"/>
            <w:tcBorders>
              <w:top w:val="single" w:color="auto" w:sz="4" w:space="0"/>
              <w:left w:val="nil"/>
              <w:bottom w:val="single" w:color="auto" w:sz="4" w:space="0"/>
              <w:right w:val="single" w:color="auto" w:sz="4" w:space="0"/>
              <w:tl2br w:val="nil"/>
              <w:tr2bl w:val="nil"/>
            </w:tcBorders>
            <w:vAlign w:val="center"/>
          </w:tcPr>
          <w:p w14:paraId="5DA532F0">
            <w:pPr>
              <w:widowControl/>
              <w:jc w:val="center"/>
              <w:textAlignment w:val="center"/>
              <w:rPr>
                <w:rFonts w:eastAsia="仿宋"/>
                <w:kern w:val="0"/>
                <w:sz w:val="24"/>
              </w:rPr>
            </w:pPr>
            <w:r>
              <w:rPr>
                <w:rFonts w:eastAsia="仿宋"/>
                <w:kern w:val="0"/>
                <w:sz w:val="24"/>
              </w:rPr>
              <w:t>马  博</w:t>
            </w:r>
          </w:p>
        </w:tc>
        <w:tc>
          <w:tcPr>
            <w:tcW w:w="1597" w:type="dxa"/>
            <w:tcBorders>
              <w:top w:val="single" w:color="auto" w:sz="4" w:space="0"/>
              <w:left w:val="nil"/>
              <w:bottom w:val="single" w:color="auto" w:sz="4" w:space="0"/>
              <w:right w:val="single" w:color="auto" w:sz="4" w:space="0"/>
              <w:tl2br w:val="nil"/>
              <w:tr2bl w:val="nil"/>
            </w:tcBorders>
            <w:vAlign w:val="center"/>
          </w:tcPr>
          <w:p w14:paraId="25A0152E">
            <w:pPr>
              <w:widowControl/>
              <w:jc w:val="left"/>
              <w:textAlignment w:val="center"/>
              <w:rPr>
                <w:rFonts w:eastAsia="仿宋"/>
                <w:kern w:val="0"/>
                <w:sz w:val="24"/>
              </w:rPr>
            </w:pPr>
            <w:r>
              <w:rPr>
                <w:rFonts w:eastAsia="仿宋"/>
                <w:kern w:val="0"/>
                <w:sz w:val="24"/>
              </w:rPr>
              <w:t>84493629</w:t>
            </w:r>
          </w:p>
        </w:tc>
      </w:tr>
      <w:tr w14:paraId="4565AC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3FFC2C36"/>
        </w:tc>
        <w:tc>
          <w:tcPr>
            <w:tcW w:w="1418" w:type="dxa"/>
            <w:vMerge w:val="continue"/>
            <w:tcBorders>
              <w:top w:val="nil"/>
              <w:left w:val="nil"/>
              <w:bottom w:val="single" w:color="auto" w:sz="4" w:space="0"/>
              <w:right w:val="single" w:color="auto" w:sz="4" w:space="0"/>
              <w:tl2br w:val="nil"/>
              <w:tr2bl w:val="nil"/>
            </w:tcBorders>
            <w:vAlign w:val="center"/>
          </w:tcPr>
          <w:p w14:paraId="4838F181"/>
        </w:tc>
        <w:tc>
          <w:tcPr>
            <w:tcW w:w="3474" w:type="dxa"/>
            <w:tcBorders>
              <w:top w:val="single" w:color="auto" w:sz="4" w:space="0"/>
              <w:left w:val="nil"/>
              <w:bottom w:val="single" w:color="auto" w:sz="4" w:space="0"/>
              <w:right w:val="single" w:color="auto" w:sz="4" w:space="0"/>
              <w:tl2br w:val="nil"/>
              <w:tr2bl w:val="nil"/>
            </w:tcBorders>
            <w:vAlign w:val="center"/>
          </w:tcPr>
          <w:p w14:paraId="4B95AC31">
            <w:pPr>
              <w:widowControl/>
              <w:jc w:val="left"/>
              <w:textAlignment w:val="center"/>
              <w:rPr>
                <w:rFonts w:eastAsia="仿宋"/>
                <w:kern w:val="0"/>
                <w:sz w:val="24"/>
              </w:rPr>
            </w:pPr>
            <w:r>
              <w:rPr>
                <w:rFonts w:hint="eastAsia" w:eastAsia="仿宋"/>
                <w:kern w:val="0"/>
                <w:sz w:val="24"/>
              </w:rPr>
              <w:t>地理标志保护运用服务</w:t>
            </w:r>
          </w:p>
        </w:tc>
        <w:tc>
          <w:tcPr>
            <w:tcW w:w="1188" w:type="dxa"/>
            <w:tcBorders>
              <w:top w:val="single" w:color="auto" w:sz="4" w:space="0"/>
              <w:left w:val="nil"/>
              <w:bottom w:val="single" w:color="auto" w:sz="4" w:space="0"/>
              <w:right w:val="single" w:color="auto" w:sz="4" w:space="0"/>
              <w:tl2br w:val="nil"/>
              <w:tr2bl w:val="nil"/>
            </w:tcBorders>
            <w:vAlign w:val="center"/>
          </w:tcPr>
          <w:p w14:paraId="47FBB4D5">
            <w:pPr>
              <w:widowControl/>
              <w:jc w:val="center"/>
              <w:textAlignment w:val="center"/>
              <w:rPr>
                <w:rFonts w:eastAsia="仿宋"/>
                <w:kern w:val="0"/>
                <w:sz w:val="24"/>
              </w:rPr>
            </w:pPr>
            <w:r>
              <w:rPr>
                <w:rFonts w:eastAsia="仿宋"/>
                <w:kern w:val="0"/>
                <w:sz w:val="24"/>
              </w:rPr>
              <w:t>马  博</w:t>
            </w:r>
          </w:p>
        </w:tc>
        <w:tc>
          <w:tcPr>
            <w:tcW w:w="1597" w:type="dxa"/>
            <w:tcBorders>
              <w:top w:val="single" w:color="auto" w:sz="4" w:space="0"/>
              <w:left w:val="nil"/>
              <w:bottom w:val="single" w:color="auto" w:sz="4" w:space="0"/>
              <w:right w:val="single" w:color="auto" w:sz="4" w:space="0"/>
              <w:tl2br w:val="nil"/>
              <w:tr2bl w:val="nil"/>
            </w:tcBorders>
            <w:vAlign w:val="center"/>
          </w:tcPr>
          <w:p w14:paraId="1E5531D6">
            <w:pPr>
              <w:widowControl/>
              <w:jc w:val="left"/>
              <w:textAlignment w:val="center"/>
              <w:rPr>
                <w:rFonts w:eastAsia="仿宋"/>
                <w:kern w:val="0"/>
                <w:sz w:val="24"/>
              </w:rPr>
            </w:pPr>
            <w:r>
              <w:rPr>
                <w:rFonts w:eastAsia="仿宋"/>
                <w:kern w:val="0"/>
                <w:sz w:val="24"/>
              </w:rPr>
              <w:t>84493629</w:t>
            </w:r>
          </w:p>
        </w:tc>
      </w:tr>
      <w:tr w14:paraId="6AAF85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jc w:val="center"/>
        </w:trPr>
        <w:tc>
          <w:tcPr>
            <w:tcW w:w="697" w:type="dxa"/>
            <w:vMerge w:val="restart"/>
            <w:tcBorders>
              <w:top w:val="nil"/>
              <w:left w:val="single" w:color="auto" w:sz="4" w:space="0"/>
              <w:bottom w:val="single" w:color="auto" w:sz="4" w:space="0"/>
              <w:right w:val="single" w:color="auto" w:sz="4" w:space="0"/>
              <w:tl2br w:val="nil"/>
              <w:tr2bl w:val="nil"/>
            </w:tcBorders>
            <w:vAlign w:val="center"/>
          </w:tcPr>
          <w:p w14:paraId="6889D344">
            <w:pPr>
              <w:widowControl/>
              <w:jc w:val="center"/>
              <w:textAlignment w:val="center"/>
              <w:rPr>
                <w:rFonts w:eastAsia="仿宋"/>
                <w:kern w:val="0"/>
                <w:sz w:val="24"/>
              </w:rPr>
            </w:pPr>
            <w:r>
              <w:rPr>
                <w:rFonts w:eastAsia="仿宋"/>
                <w:kern w:val="0"/>
                <w:sz w:val="24"/>
              </w:rPr>
              <w:t>4</w:t>
            </w:r>
          </w:p>
        </w:tc>
        <w:tc>
          <w:tcPr>
            <w:tcW w:w="1418" w:type="dxa"/>
            <w:vMerge w:val="restart"/>
            <w:tcBorders>
              <w:top w:val="nil"/>
              <w:left w:val="nil"/>
              <w:bottom w:val="single" w:color="auto" w:sz="4" w:space="0"/>
              <w:right w:val="single" w:color="auto" w:sz="4" w:space="0"/>
              <w:tl2br w:val="nil"/>
              <w:tr2bl w:val="nil"/>
            </w:tcBorders>
            <w:vAlign w:val="center"/>
          </w:tcPr>
          <w:p w14:paraId="0A7AD104">
            <w:pPr>
              <w:widowControl/>
              <w:jc w:val="center"/>
              <w:textAlignment w:val="center"/>
              <w:rPr>
                <w:rFonts w:eastAsia="仿宋"/>
                <w:kern w:val="0"/>
                <w:sz w:val="24"/>
              </w:rPr>
            </w:pPr>
            <w:r>
              <w:rPr>
                <w:rFonts w:eastAsia="仿宋"/>
                <w:kern w:val="0"/>
                <w:sz w:val="24"/>
              </w:rPr>
              <w:t>知识产权</w:t>
            </w:r>
            <w:r>
              <w:rPr>
                <w:rFonts w:hint="eastAsia" w:eastAsia="仿宋"/>
                <w:kern w:val="0"/>
                <w:sz w:val="24"/>
              </w:rPr>
              <w:t>服务体系建设</w:t>
            </w:r>
            <w:r>
              <w:rPr>
                <w:rFonts w:eastAsia="仿宋"/>
                <w:kern w:val="0"/>
                <w:sz w:val="24"/>
              </w:rPr>
              <w:t>项目</w:t>
            </w:r>
          </w:p>
        </w:tc>
        <w:tc>
          <w:tcPr>
            <w:tcW w:w="3474" w:type="dxa"/>
            <w:tcBorders>
              <w:top w:val="single" w:color="auto" w:sz="4" w:space="0"/>
              <w:left w:val="nil"/>
              <w:bottom w:val="single" w:color="auto" w:sz="4" w:space="0"/>
              <w:right w:val="single" w:color="auto" w:sz="4" w:space="0"/>
              <w:tl2br w:val="nil"/>
              <w:tr2bl w:val="nil"/>
            </w:tcBorders>
            <w:vAlign w:val="center"/>
          </w:tcPr>
          <w:p w14:paraId="24B13CDA">
            <w:pPr>
              <w:widowControl/>
              <w:jc w:val="left"/>
              <w:textAlignment w:val="center"/>
              <w:rPr>
                <w:rFonts w:eastAsia="仿宋"/>
                <w:kern w:val="0"/>
                <w:sz w:val="24"/>
              </w:rPr>
            </w:pPr>
            <w:r>
              <w:rPr>
                <w:rFonts w:hint="eastAsia" w:eastAsia="仿宋"/>
                <w:kern w:val="0"/>
                <w:sz w:val="24"/>
              </w:rPr>
              <w:t>国家知识产权服务业高质量集聚发展示范区培育</w:t>
            </w:r>
          </w:p>
        </w:tc>
        <w:tc>
          <w:tcPr>
            <w:tcW w:w="1188" w:type="dxa"/>
            <w:tcBorders>
              <w:top w:val="single" w:color="auto" w:sz="4" w:space="0"/>
              <w:left w:val="nil"/>
              <w:bottom w:val="single" w:color="auto" w:sz="4" w:space="0"/>
              <w:right w:val="single" w:color="auto" w:sz="4" w:space="0"/>
              <w:tl2br w:val="nil"/>
              <w:tr2bl w:val="nil"/>
            </w:tcBorders>
            <w:vAlign w:val="center"/>
          </w:tcPr>
          <w:p w14:paraId="3E784C17">
            <w:pPr>
              <w:widowControl/>
              <w:jc w:val="center"/>
              <w:textAlignment w:val="center"/>
              <w:rPr>
                <w:rFonts w:eastAsia="仿宋"/>
                <w:kern w:val="0"/>
                <w:sz w:val="24"/>
              </w:rPr>
            </w:pPr>
            <w:r>
              <w:rPr>
                <w:rFonts w:eastAsia="仿宋"/>
                <w:kern w:val="0"/>
                <w:sz w:val="24"/>
              </w:rPr>
              <w:t>张  军</w:t>
            </w:r>
          </w:p>
        </w:tc>
        <w:tc>
          <w:tcPr>
            <w:tcW w:w="1597" w:type="dxa"/>
            <w:tcBorders>
              <w:top w:val="single" w:color="auto" w:sz="4" w:space="0"/>
              <w:left w:val="nil"/>
              <w:bottom w:val="single" w:color="auto" w:sz="4" w:space="0"/>
              <w:right w:val="single" w:color="auto" w:sz="4" w:space="0"/>
              <w:tl2br w:val="nil"/>
              <w:tr2bl w:val="nil"/>
            </w:tcBorders>
            <w:vAlign w:val="center"/>
          </w:tcPr>
          <w:p w14:paraId="280BE07B">
            <w:pPr>
              <w:widowControl/>
              <w:jc w:val="left"/>
              <w:textAlignment w:val="center"/>
              <w:rPr>
                <w:rFonts w:eastAsia="仿宋"/>
                <w:kern w:val="0"/>
                <w:sz w:val="24"/>
              </w:rPr>
            </w:pPr>
            <w:r>
              <w:rPr>
                <w:rFonts w:eastAsia="仿宋"/>
                <w:kern w:val="0"/>
                <w:sz w:val="24"/>
              </w:rPr>
              <w:t>23039857</w:t>
            </w:r>
          </w:p>
        </w:tc>
      </w:tr>
      <w:tr w14:paraId="374314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6A942B64"/>
        </w:tc>
        <w:tc>
          <w:tcPr>
            <w:tcW w:w="1418" w:type="dxa"/>
            <w:vMerge w:val="continue"/>
            <w:tcBorders>
              <w:top w:val="nil"/>
              <w:left w:val="nil"/>
              <w:bottom w:val="single" w:color="auto" w:sz="4" w:space="0"/>
              <w:right w:val="single" w:color="auto" w:sz="4" w:space="0"/>
              <w:tl2br w:val="nil"/>
              <w:tr2bl w:val="nil"/>
            </w:tcBorders>
            <w:vAlign w:val="center"/>
          </w:tcPr>
          <w:p w14:paraId="51518FB1"/>
        </w:tc>
        <w:tc>
          <w:tcPr>
            <w:tcW w:w="3474" w:type="dxa"/>
            <w:tcBorders>
              <w:top w:val="single" w:color="auto" w:sz="4" w:space="0"/>
              <w:left w:val="nil"/>
              <w:bottom w:val="single" w:color="auto" w:sz="4" w:space="0"/>
              <w:right w:val="single" w:color="auto" w:sz="4" w:space="0"/>
              <w:tl2br w:val="nil"/>
              <w:tr2bl w:val="nil"/>
            </w:tcBorders>
            <w:vAlign w:val="center"/>
          </w:tcPr>
          <w:p w14:paraId="41025683">
            <w:pPr>
              <w:widowControl/>
              <w:jc w:val="left"/>
              <w:textAlignment w:val="center"/>
              <w:rPr>
                <w:rFonts w:eastAsia="仿宋"/>
                <w:kern w:val="0"/>
                <w:sz w:val="24"/>
              </w:rPr>
            </w:pPr>
            <w:r>
              <w:rPr>
                <w:rFonts w:hint="eastAsia" w:eastAsia="仿宋"/>
                <w:kern w:val="0"/>
                <w:sz w:val="24"/>
              </w:rPr>
              <w:t>知识产权信息服务能力提升</w:t>
            </w:r>
          </w:p>
        </w:tc>
        <w:tc>
          <w:tcPr>
            <w:tcW w:w="1188" w:type="dxa"/>
            <w:tcBorders>
              <w:top w:val="single" w:color="auto" w:sz="4" w:space="0"/>
              <w:left w:val="nil"/>
              <w:bottom w:val="single" w:color="auto" w:sz="4" w:space="0"/>
              <w:right w:val="single" w:color="auto" w:sz="4" w:space="0"/>
              <w:tl2br w:val="nil"/>
              <w:tr2bl w:val="nil"/>
            </w:tcBorders>
            <w:vAlign w:val="center"/>
          </w:tcPr>
          <w:p w14:paraId="11BDB7EF">
            <w:pPr>
              <w:widowControl/>
              <w:jc w:val="center"/>
              <w:textAlignment w:val="center"/>
              <w:rPr>
                <w:rFonts w:eastAsia="仿宋"/>
                <w:kern w:val="0"/>
                <w:sz w:val="24"/>
              </w:rPr>
            </w:pPr>
            <w:r>
              <w:rPr>
                <w:rFonts w:hint="eastAsia" w:eastAsia="仿宋"/>
                <w:kern w:val="0"/>
                <w:sz w:val="24"/>
              </w:rPr>
              <w:t>张</w:t>
            </w:r>
            <w:r>
              <w:rPr>
                <w:rFonts w:eastAsia="仿宋"/>
                <w:kern w:val="0"/>
                <w:sz w:val="24"/>
              </w:rPr>
              <w:t xml:space="preserve">  </w:t>
            </w:r>
            <w:r>
              <w:rPr>
                <w:rFonts w:hint="eastAsia" w:eastAsia="仿宋"/>
                <w:kern w:val="0"/>
                <w:sz w:val="24"/>
              </w:rPr>
              <w:t>硕</w:t>
            </w:r>
          </w:p>
        </w:tc>
        <w:tc>
          <w:tcPr>
            <w:tcW w:w="1597" w:type="dxa"/>
            <w:tcBorders>
              <w:top w:val="single" w:color="auto" w:sz="4" w:space="0"/>
              <w:left w:val="nil"/>
              <w:bottom w:val="single" w:color="auto" w:sz="4" w:space="0"/>
              <w:right w:val="single" w:color="auto" w:sz="4" w:space="0"/>
              <w:tl2br w:val="nil"/>
              <w:tr2bl w:val="nil"/>
            </w:tcBorders>
            <w:vAlign w:val="center"/>
          </w:tcPr>
          <w:p w14:paraId="36460538">
            <w:pPr>
              <w:widowControl/>
              <w:jc w:val="left"/>
              <w:textAlignment w:val="center"/>
              <w:rPr>
                <w:rFonts w:eastAsia="仿宋"/>
                <w:kern w:val="0"/>
                <w:sz w:val="24"/>
              </w:rPr>
            </w:pPr>
            <w:r>
              <w:rPr>
                <w:rFonts w:eastAsia="仿宋"/>
                <w:kern w:val="0"/>
                <w:sz w:val="24"/>
              </w:rPr>
              <w:t>23039897</w:t>
            </w:r>
          </w:p>
        </w:tc>
      </w:tr>
      <w:tr w14:paraId="0CD01E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7"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237386B2"/>
        </w:tc>
        <w:tc>
          <w:tcPr>
            <w:tcW w:w="1418" w:type="dxa"/>
            <w:vMerge w:val="continue"/>
            <w:tcBorders>
              <w:top w:val="nil"/>
              <w:left w:val="nil"/>
              <w:bottom w:val="single" w:color="auto" w:sz="4" w:space="0"/>
              <w:right w:val="single" w:color="auto" w:sz="4" w:space="0"/>
              <w:tl2br w:val="nil"/>
              <w:tr2bl w:val="nil"/>
            </w:tcBorders>
            <w:vAlign w:val="center"/>
          </w:tcPr>
          <w:p w14:paraId="22032020"/>
        </w:tc>
        <w:tc>
          <w:tcPr>
            <w:tcW w:w="3474" w:type="dxa"/>
            <w:tcBorders>
              <w:top w:val="single" w:color="auto" w:sz="4" w:space="0"/>
              <w:left w:val="nil"/>
              <w:bottom w:val="single" w:color="auto" w:sz="4" w:space="0"/>
              <w:right w:val="single" w:color="auto" w:sz="4" w:space="0"/>
              <w:tl2br w:val="nil"/>
              <w:tr2bl w:val="nil"/>
            </w:tcBorders>
            <w:vAlign w:val="center"/>
          </w:tcPr>
          <w:p w14:paraId="6CF42DB6">
            <w:pPr>
              <w:widowControl/>
              <w:jc w:val="left"/>
              <w:textAlignment w:val="center"/>
              <w:rPr>
                <w:rFonts w:eastAsia="仿宋"/>
                <w:kern w:val="0"/>
                <w:sz w:val="24"/>
              </w:rPr>
            </w:pPr>
            <w:r>
              <w:rPr>
                <w:rFonts w:hint="eastAsia" w:eastAsia="仿宋"/>
                <w:kern w:val="0"/>
                <w:sz w:val="24"/>
              </w:rPr>
              <w:t>知识产权公共服务普惠</w:t>
            </w:r>
          </w:p>
        </w:tc>
        <w:tc>
          <w:tcPr>
            <w:tcW w:w="1188" w:type="dxa"/>
            <w:tcBorders>
              <w:top w:val="single" w:color="auto" w:sz="4" w:space="0"/>
              <w:left w:val="nil"/>
              <w:bottom w:val="single" w:color="auto" w:sz="4" w:space="0"/>
              <w:right w:val="single" w:color="auto" w:sz="4" w:space="0"/>
              <w:tl2br w:val="nil"/>
              <w:tr2bl w:val="nil"/>
            </w:tcBorders>
            <w:vAlign w:val="center"/>
          </w:tcPr>
          <w:p w14:paraId="6E8A80E5">
            <w:pPr>
              <w:widowControl/>
              <w:jc w:val="center"/>
              <w:textAlignment w:val="center"/>
              <w:rPr>
                <w:rFonts w:eastAsia="仿宋"/>
                <w:kern w:val="0"/>
                <w:sz w:val="24"/>
              </w:rPr>
            </w:pPr>
            <w:r>
              <w:rPr>
                <w:rFonts w:hint="eastAsia" w:eastAsia="仿宋"/>
                <w:kern w:val="0"/>
                <w:sz w:val="24"/>
              </w:rPr>
              <w:t>张</w:t>
            </w:r>
            <w:r>
              <w:rPr>
                <w:rFonts w:eastAsia="仿宋"/>
                <w:kern w:val="0"/>
                <w:sz w:val="24"/>
              </w:rPr>
              <w:t xml:space="preserve">  </w:t>
            </w:r>
            <w:r>
              <w:rPr>
                <w:rFonts w:hint="eastAsia" w:eastAsia="仿宋"/>
                <w:kern w:val="0"/>
                <w:sz w:val="24"/>
              </w:rPr>
              <w:t>硕</w:t>
            </w:r>
          </w:p>
        </w:tc>
        <w:tc>
          <w:tcPr>
            <w:tcW w:w="1597" w:type="dxa"/>
            <w:tcBorders>
              <w:top w:val="single" w:color="auto" w:sz="4" w:space="0"/>
              <w:left w:val="nil"/>
              <w:bottom w:val="single" w:color="auto" w:sz="4" w:space="0"/>
              <w:right w:val="single" w:color="auto" w:sz="4" w:space="0"/>
              <w:tl2br w:val="nil"/>
              <w:tr2bl w:val="nil"/>
            </w:tcBorders>
            <w:vAlign w:val="center"/>
          </w:tcPr>
          <w:p w14:paraId="527FD30B">
            <w:pPr>
              <w:widowControl/>
              <w:jc w:val="left"/>
              <w:textAlignment w:val="center"/>
              <w:rPr>
                <w:rFonts w:eastAsia="仿宋"/>
                <w:kern w:val="0"/>
                <w:sz w:val="24"/>
              </w:rPr>
            </w:pPr>
            <w:r>
              <w:rPr>
                <w:rFonts w:eastAsia="仿宋"/>
                <w:kern w:val="0"/>
                <w:sz w:val="24"/>
              </w:rPr>
              <w:t>23039897</w:t>
            </w:r>
          </w:p>
        </w:tc>
      </w:tr>
      <w:tr w14:paraId="5DF822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7"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27327FA4"/>
        </w:tc>
        <w:tc>
          <w:tcPr>
            <w:tcW w:w="1418" w:type="dxa"/>
            <w:vMerge w:val="continue"/>
            <w:tcBorders>
              <w:top w:val="nil"/>
              <w:left w:val="nil"/>
              <w:bottom w:val="single" w:color="auto" w:sz="4" w:space="0"/>
              <w:right w:val="single" w:color="auto" w:sz="4" w:space="0"/>
              <w:tl2br w:val="nil"/>
              <w:tr2bl w:val="nil"/>
            </w:tcBorders>
            <w:vAlign w:val="center"/>
          </w:tcPr>
          <w:p w14:paraId="575788EC"/>
        </w:tc>
        <w:tc>
          <w:tcPr>
            <w:tcW w:w="3474" w:type="dxa"/>
            <w:tcBorders>
              <w:top w:val="single" w:color="auto" w:sz="4" w:space="0"/>
              <w:left w:val="nil"/>
              <w:bottom w:val="single" w:color="auto" w:sz="4" w:space="0"/>
              <w:right w:val="single" w:color="auto" w:sz="4" w:space="0"/>
              <w:tl2br w:val="nil"/>
              <w:tr2bl w:val="nil"/>
            </w:tcBorders>
            <w:vAlign w:val="center"/>
          </w:tcPr>
          <w:p w14:paraId="542CB77A">
            <w:pPr>
              <w:widowControl/>
              <w:jc w:val="left"/>
              <w:rPr>
                <w:rFonts w:eastAsia="仿宋"/>
                <w:kern w:val="0"/>
                <w:sz w:val="24"/>
              </w:rPr>
            </w:pPr>
            <w:r>
              <w:rPr>
                <w:rFonts w:hint="eastAsia" w:eastAsia="仿宋"/>
                <w:kern w:val="0"/>
                <w:sz w:val="24"/>
              </w:rPr>
              <w:t>数据知识产权</w:t>
            </w:r>
          </w:p>
        </w:tc>
        <w:tc>
          <w:tcPr>
            <w:tcW w:w="1188" w:type="dxa"/>
            <w:tcBorders>
              <w:top w:val="single" w:color="auto" w:sz="4" w:space="0"/>
              <w:left w:val="nil"/>
              <w:bottom w:val="single" w:color="auto" w:sz="4" w:space="0"/>
              <w:right w:val="single" w:color="auto" w:sz="4" w:space="0"/>
              <w:tl2br w:val="nil"/>
              <w:tr2bl w:val="nil"/>
            </w:tcBorders>
            <w:vAlign w:val="center"/>
          </w:tcPr>
          <w:p w14:paraId="528792D2">
            <w:pPr>
              <w:widowControl/>
              <w:jc w:val="center"/>
              <w:textAlignment w:val="center"/>
              <w:rPr>
                <w:rFonts w:eastAsia="仿宋"/>
                <w:kern w:val="0"/>
                <w:sz w:val="24"/>
              </w:rPr>
            </w:pPr>
            <w:r>
              <w:rPr>
                <w:rFonts w:hint="eastAsia" w:eastAsia="仿宋"/>
                <w:kern w:val="0"/>
                <w:sz w:val="24"/>
              </w:rPr>
              <w:t>张</w:t>
            </w:r>
            <w:r>
              <w:rPr>
                <w:rFonts w:eastAsia="仿宋"/>
                <w:kern w:val="0"/>
                <w:sz w:val="24"/>
              </w:rPr>
              <w:t xml:space="preserve">  </w:t>
            </w:r>
            <w:r>
              <w:rPr>
                <w:rFonts w:hint="eastAsia" w:eastAsia="仿宋"/>
                <w:kern w:val="0"/>
                <w:sz w:val="24"/>
              </w:rPr>
              <w:t>硕</w:t>
            </w:r>
          </w:p>
        </w:tc>
        <w:tc>
          <w:tcPr>
            <w:tcW w:w="1597" w:type="dxa"/>
            <w:tcBorders>
              <w:top w:val="single" w:color="auto" w:sz="4" w:space="0"/>
              <w:left w:val="nil"/>
              <w:bottom w:val="single" w:color="auto" w:sz="4" w:space="0"/>
              <w:right w:val="single" w:color="auto" w:sz="4" w:space="0"/>
              <w:tl2br w:val="nil"/>
              <w:tr2bl w:val="nil"/>
            </w:tcBorders>
            <w:vAlign w:val="center"/>
          </w:tcPr>
          <w:p w14:paraId="3618516A">
            <w:pPr>
              <w:widowControl/>
              <w:jc w:val="left"/>
              <w:textAlignment w:val="center"/>
              <w:rPr>
                <w:rFonts w:eastAsia="仿宋"/>
                <w:kern w:val="0"/>
                <w:sz w:val="24"/>
              </w:rPr>
            </w:pPr>
            <w:r>
              <w:rPr>
                <w:rFonts w:eastAsia="仿宋"/>
                <w:kern w:val="0"/>
                <w:sz w:val="24"/>
              </w:rPr>
              <w:t>23039897</w:t>
            </w:r>
          </w:p>
        </w:tc>
      </w:tr>
      <w:tr w14:paraId="3A1C53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7"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1343196C"/>
        </w:tc>
        <w:tc>
          <w:tcPr>
            <w:tcW w:w="1418" w:type="dxa"/>
            <w:vMerge w:val="continue"/>
            <w:tcBorders>
              <w:top w:val="nil"/>
              <w:left w:val="nil"/>
              <w:bottom w:val="single" w:color="auto" w:sz="4" w:space="0"/>
              <w:right w:val="single" w:color="auto" w:sz="4" w:space="0"/>
              <w:tl2br w:val="nil"/>
              <w:tr2bl w:val="nil"/>
            </w:tcBorders>
            <w:vAlign w:val="center"/>
          </w:tcPr>
          <w:p w14:paraId="10330341"/>
        </w:tc>
        <w:tc>
          <w:tcPr>
            <w:tcW w:w="3474" w:type="dxa"/>
            <w:tcBorders>
              <w:top w:val="single" w:color="auto" w:sz="4" w:space="0"/>
              <w:left w:val="nil"/>
              <w:bottom w:val="single" w:color="auto" w:sz="4" w:space="0"/>
              <w:right w:val="single" w:color="auto" w:sz="4" w:space="0"/>
              <w:tl2br w:val="nil"/>
              <w:tr2bl w:val="nil"/>
            </w:tcBorders>
            <w:vAlign w:val="center"/>
          </w:tcPr>
          <w:p w14:paraId="10107EE0">
            <w:pPr>
              <w:widowControl/>
              <w:jc w:val="left"/>
              <w:rPr>
                <w:rFonts w:eastAsia="仿宋"/>
                <w:kern w:val="0"/>
                <w:sz w:val="24"/>
              </w:rPr>
            </w:pPr>
            <w:r>
              <w:rPr>
                <w:rFonts w:hint="eastAsia" w:eastAsia="仿宋"/>
                <w:kern w:val="0"/>
                <w:sz w:val="24"/>
              </w:rPr>
              <w:t>支撑关键核心技术攻关</w:t>
            </w:r>
          </w:p>
        </w:tc>
        <w:tc>
          <w:tcPr>
            <w:tcW w:w="1188" w:type="dxa"/>
            <w:tcBorders>
              <w:top w:val="single" w:color="auto" w:sz="4" w:space="0"/>
              <w:left w:val="nil"/>
              <w:bottom w:val="single" w:color="auto" w:sz="4" w:space="0"/>
              <w:right w:val="single" w:color="auto" w:sz="4" w:space="0"/>
              <w:tl2br w:val="nil"/>
              <w:tr2bl w:val="nil"/>
            </w:tcBorders>
            <w:vAlign w:val="center"/>
          </w:tcPr>
          <w:p w14:paraId="63E01BEF">
            <w:pPr>
              <w:widowControl/>
              <w:jc w:val="center"/>
              <w:textAlignment w:val="center"/>
              <w:rPr>
                <w:rFonts w:eastAsia="仿宋"/>
                <w:kern w:val="0"/>
                <w:sz w:val="24"/>
              </w:rPr>
            </w:pPr>
            <w:r>
              <w:rPr>
                <w:rFonts w:hint="eastAsia" w:eastAsia="仿宋"/>
                <w:kern w:val="0"/>
                <w:sz w:val="24"/>
              </w:rPr>
              <w:t>王  琳</w:t>
            </w:r>
          </w:p>
        </w:tc>
        <w:tc>
          <w:tcPr>
            <w:tcW w:w="1597" w:type="dxa"/>
            <w:tcBorders>
              <w:top w:val="single" w:color="auto" w:sz="4" w:space="0"/>
              <w:left w:val="nil"/>
              <w:bottom w:val="single" w:color="auto" w:sz="4" w:space="0"/>
              <w:right w:val="single" w:color="auto" w:sz="4" w:space="0"/>
              <w:tl2br w:val="nil"/>
              <w:tr2bl w:val="nil"/>
            </w:tcBorders>
            <w:vAlign w:val="center"/>
          </w:tcPr>
          <w:p w14:paraId="279C8162">
            <w:pPr>
              <w:widowControl/>
              <w:jc w:val="left"/>
              <w:textAlignment w:val="center"/>
              <w:rPr>
                <w:rFonts w:eastAsia="仿宋"/>
                <w:kern w:val="0"/>
                <w:sz w:val="24"/>
              </w:rPr>
            </w:pPr>
            <w:r>
              <w:rPr>
                <w:rFonts w:eastAsia="仿宋"/>
                <w:kern w:val="0"/>
                <w:sz w:val="24"/>
              </w:rPr>
              <w:t>83718188</w:t>
            </w:r>
          </w:p>
        </w:tc>
      </w:tr>
      <w:tr w14:paraId="1732E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7" w:hRule="atLeast"/>
          <w:jc w:val="center"/>
        </w:trPr>
        <w:tc>
          <w:tcPr>
            <w:tcW w:w="697" w:type="dxa"/>
            <w:vMerge w:val="continue"/>
            <w:tcBorders>
              <w:top w:val="nil"/>
              <w:left w:val="single" w:color="auto" w:sz="4" w:space="0"/>
              <w:bottom w:val="single" w:color="auto" w:sz="4" w:space="0"/>
              <w:right w:val="single" w:color="auto" w:sz="4" w:space="0"/>
              <w:tl2br w:val="nil"/>
              <w:tr2bl w:val="nil"/>
            </w:tcBorders>
            <w:vAlign w:val="center"/>
          </w:tcPr>
          <w:p w14:paraId="6BAD3016"/>
        </w:tc>
        <w:tc>
          <w:tcPr>
            <w:tcW w:w="1418" w:type="dxa"/>
            <w:vMerge w:val="continue"/>
            <w:tcBorders>
              <w:top w:val="nil"/>
              <w:left w:val="nil"/>
              <w:bottom w:val="single" w:color="auto" w:sz="4" w:space="0"/>
              <w:right w:val="single" w:color="auto" w:sz="4" w:space="0"/>
              <w:tl2br w:val="nil"/>
              <w:tr2bl w:val="nil"/>
            </w:tcBorders>
            <w:vAlign w:val="center"/>
          </w:tcPr>
          <w:p w14:paraId="6E1AB0CE"/>
        </w:tc>
        <w:tc>
          <w:tcPr>
            <w:tcW w:w="3474" w:type="dxa"/>
            <w:tcBorders>
              <w:top w:val="single" w:color="auto" w:sz="4" w:space="0"/>
              <w:left w:val="nil"/>
              <w:bottom w:val="single" w:color="auto" w:sz="4" w:space="0"/>
              <w:right w:val="single" w:color="auto" w:sz="4" w:space="0"/>
              <w:tl2br w:val="nil"/>
              <w:tr2bl w:val="nil"/>
            </w:tcBorders>
            <w:vAlign w:val="center"/>
          </w:tcPr>
          <w:p w14:paraId="10FDAF92">
            <w:pPr>
              <w:widowControl/>
              <w:jc w:val="left"/>
              <w:textAlignment w:val="center"/>
              <w:rPr>
                <w:rFonts w:eastAsia="仿宋"/>
                <w:kern w:val="0"/>
                <w:sz w:val="24"/>
              </w:rPr>
            </w:pPr>
            <w:r>
              <w:rPr>
                <w:rFonts w:hint="eastAsia" w:eastAsia="仿宋"/>
                <w:kern w:val="0"/>
                <w:sz w:val="24"/>
              </w:rPr>
              <w:t>知识产权公共服务标准化</w:t>
            </w:r>
          </w:p>
        </w:tc>
        <w:tc>
          <w:tcPr>
            <w:tcW w:w="1188" w:type="dxa"/>
            <w:tcBorders>
              <w:top w:val="single" w:color="auto" w:sz="4" w:space="0"/>
              <w:left w:val="nil"/>
              <w:bottom w:val="single" w:color="auto" w:sz="4" w:space="0"/>
              <w:right w:val="single" w:color="auto" w:sz="4" w:space="0"/>
              <w:tl2br w:val="nil"/>
              <w:tr2bl w:val="nil"/>
            </w:tcBorders>
            <w:vAlign w:val="center"/>
          </w:tcPr>
          <w:p w14:paraId="6F453AB2">
            <w:pPr>
              <w:widowControl/>
              <w:jc w:val="center"/>
              <w:textAlignment w:val="center"/>
              <w:rPr>
                <w:rFonts w:eastAsia="仿宋"/>
                <w:kern w:val="0"/>
                <w:sz w:val="24"/>
              </w:rPr>
            </w:pPr>
            <w:r>
              <w:rPr>
                <w:rFonts w:hint="eastAsia" w:eastAsia="仿宋"/>
                <w:kern w:val="0"/>
                <w:sz w:val="24"/>
              </w:rPr>
              <w:t>王  琳</w:t>
            </w:r>
          </w:p>
        </w:tc>
        <w:tc>
          <w:tcPr>
            <w:tcW w:w="1597" w:type="dxa"/>
            <w:tcBorders>
              <w:top w:val="single" w:color="auto" w:sz="4" w:space="0"/>
              <w:left w:val="nil"/>
              <w:bottom w:val="single" w:color="auto" w:sz="4" w:space="0"/>
              <w:right w:val="single" w:color="auto" w:sz="4" w:space="0"/>
              <w:tl2br w:val="nil"/>
              <w:tr2bl w:val="nil"/>
            </w:tcBorders>
            <w:vAlign w:val="center"/>
          </w:tcPr>
          <w:p w14:paraId="4DE9A384">
            <w:pPr>
              <w:widowControl/>
              <w:jc w:val="left"/>
              <w:textAlignment w:val="center"/>
              <w:rPr>
                <w:rFonts w:eastAsia="仿宋"/>
                <w:kern w:val="0"/>
                <w:sz w:val="24"/>
              </w:rPr>
            </w:pPr>
            <w:r>
              <w:rPr>
                <w:rFonts w:eastAsia="仿宋"/>
                <w:kern w:val="0"/>
                <w:sz w:val="24"/>
              </w:rPr>
              <w:t>83718188</w:t>
            </w:r>
          </w:p>
        </w:tc>
      </w:tr>
      <w:tr w14:paraId="4DD62A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0"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vAlign w:val="center"/>
          </w:tcPr>
          <w:p w14:paraId="178814D5">
            <w:pPr>
              <w:widowControl/>
              <w:jc w:val="center"/>
              <w:textAlignment w:val="center"/>
              <w:rPr>
                <w:rFonts w:eastAsia="仿宋"/>
                <w:kern w:val="0"/>
                <w:sz w:val="24"/>
              </w:rPr>
            </w:pPr>
            <w:r>
              <w:rPr>
                <w:rFonts w:eastAsia="仿宋"/>
                <w:kern w:val="0"/>
                <w:sz w:val="24"/>
              </w:rPr>
              <w:t>5</w:t>
            </w:r>
          </w:p>
        </w:tc>
        <w:tc>
          <w:tcPr>
            <w:tcW w:w="1418" w:type="dxa"/>
            <w:tcBorders>
              <w:top w:val="single" w:color="auto" w:sz="4" w:space="0"/>
              <w:left w:val="nil"/>
              <w:bottom w:val="single" w:color="auto" w:sz="4" w:space="0"/>
              <w:right w:val="single" w:color="auto" w:sz="4" w:space="0"/>
              <w:tl2br w:val="nil"/>
              <w:tr2bl w:val="nil"/>
            </w:tcBorders>
            <w:vAlign w:val="center"/>
          </w:tcPr>
          <w:p w14:paraId="5A93DFB5">
            <w:pPr>
              <w:widowControl/>
              <w:jc w:val="center"/>
              <w:textAlignment w:val="center"/>
              <w:rPr>
                <w:rFonts w:eastAsia="仿宋"/>
                <w:kern w:val="0"/>
                <w:sz w:val="24"/>
              </w:rPr>
            </w:pPr>
          </w:p>
        </w:tc>
        <w:tc>
          <w:tcPr>
            <w:tcW w:w="3474" w:type="dxa"/>
            <w:tcBorders>
              <w:top w:val="single" w:color="auto" w:sz="4" w:space="0"/>
              <w:left w:val="nil"/>
              <w:bottom w:val="single" w:color="auto" w:sz="4" w:space="0"/>
              <w:right w:val="single" w:color="auto" w:sz="4" w:space="0"/>
              <w:tl2br w:val="nil"/>
              <w:tr2bl w:val="nil"/>
            </w:tcBorders>
            <w:vAlign w:val="center"/>
          </w:tcPr>
          <w:p w14:paraId="75FA02A9">
            <w:pPr>
              <w:widowControl/>
              <w:jc w:val="left"/>
              <w:textAlignment w:val="center"/>
              <w:rPr>
                <w:rFonts w:eastAsia="仿宋"/>
                <w:kern w:val="0"/>
                <w:sz w:val="24"/>
              </w:rPr>
            </w:pPr>
            <w:r>
              <w:rPr>
                <w:rFonts w:eastAsia="仿宋"/>
                <w:kern w:val="0"/>
                <w:sz w:val="24"/>
              </w:rPr>
              <w:t>申报流程咨询</w:t>
            </w:r>
          </w:p>
        </w:tc>
        <w:tc>
          <w:tcPr>
            <w:tcW w:w="1188" w:type="dxa"/>
            <w:tcBorders>
              <w:top w:val="single" w:color="auto" w:sz="4" w:space="0"/>
              <w:left w:val="nil"/>
              <w:bottom w:val="single" w:color="auto" w:sz="4" w:space="0"/>
              <w:right w:val="single" w:color="auto" w:sz="4" w:space="0"/>
              <w:tl2br w:val="nil"/>
              <w:tr2bl w:val="nil"/>
            </w:tcBorders>
            <w:vAlign w:val="center"/>
          </w:tcPr>
          <w:p w14:paraId="1344FA6B">
            <w:pPr>
              <w:widowControl/>
              <w:jc w:val="center"/>
              <w:textAlignment w:val="center"/>
              <w:rPr>
                <w:rFonts w:eastAsia="仿宋"/>
                <w:kern w:val="0"/>
                <w:sz w:val="24"/>
              </w:rPr>
            </w:pPr>
            <w:r>
              <w:rPr>
                <w:rFonts w:eastAsia="仿宋"/>
                <w:kern w:val="0"/>
                <w:sz w:val="24"/>
              </w:rPr>
              <w:t>毕志诚</w:t>
            </w:r>
          </w:p>
        </w:tc>
        <w:tc>
          <w:tcPr>
            <w:tcW w:w="1597" w:type="dxa"/>
            <w:tcBorders>
              <w:top w:val="single" w:color="auto" w:sz="4" w:space="0"/>
              <w:left w:val="nil"/>
              <w:bottom w:val="single" w:color="auto" w:sz="4" w:space="0"/>
              <w:right w:val="single" w:color="auto" w:sz="4" w:space="0"/>
              <w:tl2br w:val="nil"/>
              <w:tr2bl w:val="nil"/>
            </w:tcBorders>
            <w:vAlign w:val="center"/>
          </w:tcPr>
          <w:p w14:paraId="5847996F">
            <w:pPr>
              <w:widowControl/>
              <w:jc w:val="left"/>
              <w:textAlignment w:val="center"/>
              <w:rPr>
                <w:rFonts w:eastAsia="仿宋"/>
                <w:kern w:val="0"/>
                <w:sz w:val="24"/>
              </w:rPr>
            </w:pPr>
            <w:r>
              <w:rPr>
                <w:rFonts w:eastAsia="仿宋"/>
                <w:kern w:val="0"/>
                <w:sz w:val="24"/>
              </w:rPr>
              <w:t>83718188</w:t>
            </w:r>
          </w:p>
        </w:tc>
      </w:tr>
      <w:tr w14:paraId="7F4C4A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0"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vAlign w:val="center"/>
          </w:tcPr>
          <w:p w14:paraId="2C373D93">
            <w:pPr>
              <w:widowControl/>
              <w:jc w:val="center"/>
              <w:textAlignment w:val="center"/>
              <w:rPr>
                <w:rFonts w:eastAsia="仿宋"/>
                <w:kern w:val="0"/>
                <w:sz w:val="24"/>
              </w:rPr>
            </w:pPr>
            <w:r>
              <w:rPr>
                <w:rFonts w:eastAsia="仿宋"/>
                <w:kern w:val="0"/>
                <w:sz w:val="24"/>
              </w:rPr>
              <w:t>6</w:t>
            </w:r>
          </w:p>
        </w:tc>
        <w:tc>
          <w:tcPr>
            <w:tcW w:w="1418" w:type="dxa"/>
            <w:tcBorders>
              <w:top w:val="single" w:color="auto" w:sz="4" w:space="0"/>
              <w:left w:val="nil"/>
              <w:bottom w:val="single" w:color="auto" w:sz="4" w:space="0"/>
              <w:right w:val="single" w:color="auto" w:sz="4" w:space="0"/>
              <w:tl2br w:val="nil"/>
              <w:tr2bl w:val="nil"/>
            </w:tcBorders>
            <w:vAlign w:val="center"/>
          </w:tcPr>
          <w:p w14:paraId="5E41E959">
            <w:pPr>
              <w:widowControl/>
              <w:jc w:val="center"/>
              <w:textAlignment w:val="center"/>
              <w:rPr>
                <w:rFonts w:eastAsia="仿宋"/>
                <w:kern w:val="0"/>
                <w:sz w:val="24"/>
              </w:rPr>
            </w:pPr>
          </w:p>
        </w:tc>
        <w:tc>
          <w:tcPr>
            <w:tcW w:w="3474" w:type="dxa"/>
            <w:tcBorders>
              <w:top w:val="single" w:color="auto" w:sz="4" w:space="0"/>
              <w:left w:val="nil"/>
              <w:bottom w:val="single" w:color="auto" w:sz="4" w:space="0"/>
              <w:right w:val="single" w:color="auto" w:sz="4" w:space="0"/>
              <w:tl2br w:val="nil"/>
              <w:tr2bl w:val="nil"/>
            </w:tcBorders>
            <w:vAlign w:val="center"/>
          </w:tcPr>
          <w:p w14:paraId="21A1D6F9">
            <w:pPr>
              <w:widowControl/>
              <w:jc w:val="left"/>
              <w:textAlignment w:val="center"/>
              <w:rPr>
                <w:rFonts w:eastAsia="仿宋"/>
                <w:kern w:val="0"/>
                <w:sz w:val="24"/>
              </w:rPr>
            </w:pPr>
            <w:r>
              <w:rPr>
                <w:rFonts w:hint="eastAsia" w:eastAsia="仿宋"/>
                <w:kern w:val="0"/>
                <w:sz w:val="24"/>
              </w:rPr>
              <w:t>申报系统技术支持</w:t>
            </w:r>
          </w:p>
        </w:tc>
        <w:tc>
          <w:tcPr>
            <w:tcW w:w="1188" w:type="dxa"/>
            <w:tcBorders>
              <w:top w:val="single" w:color="auto" w:sz="4" w:space="0"/>
              <w:left w:val="nil"/>
              <w:bottom w:val="single" w:color="auto" w:sz="4" w:space="0"/>
              <w:right w:val="single" w:color="auto" w:sz="4" w:space="0"/>
              <w:tl2br w:val="nil"/>
              <w:tr2bl w:val="nil"/>
            </w:tcBorders>
            <w:vAlign w:val="center"/>
          </w:tcPr>
          <w:p w14:paraId="58C0C78D">
            <w:pPr>
              <w:widowControl/>
              <w:jc w:val="center"/>
              <w:textAlignment w:val="center"/>
              <w:rPr>
                <w:rFonts w:eastAsia="仿宋"/>
                <w:kern w:val="0"/>
                <w:sz w:val="24"/>
              </w:rPr>
            </w:pPr>
            <w:r>
              <w:rPr>
                <w:rFonts w:hint="eastAsia" w:eastAsia="仿宋"/>
                <w:kern w:val="0"/>
                <w:sz w:val="24"/>
              </w:rPr>
              <w:t>刘  楠</w:t>
            </w:r>
          </w:p>
        </w:tc>
        <w:tc>
          <w:tcPr>
            <w:tcW w:w="1597" w:type="dxa"/>
            <w:tcBorders>
              <w:top w:val="single" w:color="auto" w:sz="4" w:space="0"/>
              <w:left w:val="nil"/>
              <w:bottom w:val="single" w:color="auto" w:sz="4" w:space="0"/>
              <w:right w:val="single" w:color="auto" w:sz="4" w:space="0"/>
              <w:tl2br w:val="nil"/>
              <w:tr2bl w:val="nil"/>
            </w:tcBorders>
            <w:vAlign w:val="center"/>
          </w:tcPr>
          <w:p w14:paraId="76B455CB">
            <w:pPr>
              <w:widowControl/>
              <w:jc w:val="left"/>
              <w:textAlignment w:val="center"/>
              <w:rPr>
                <w:rFonts w:eastAsia="仿宋"/>
                <w:kern w:val="0"/>
                <w:sz w:val="24"/>
              </w:rPr>
            </w:pPr>
            <w:r>
              <w:rPr>
                <w:rFonts w:eastAsia="仿宋"/>
                <w:kern w:val="0"/>
                <w:sz w:val="24"/>
              </w:rPr>
              <w:t>23532900</w:t>
            </w:r>
            <w:r>
              <w:rPr>
                <w:rFonts w:hint="eastAsia" w:ascii="仿宋" w:eastAsia="仿宋"/>
                <w:kern w:val="0"/>
                <w:sz w:val="24"/>
              </w:rPr>
              <w:t>转</w:t>
            </w:r>
            <w:r>
              <w:rPr>
                <w:rFonts w:eastAsia="仿宋"/>
                <w:kern w:val="0"/>
                <w:sz w:val="24"/>
              </w:rPr>
              <w:t>838</w:t>
            </w:r>
          </w:p>
        </w:tc>
      </w:tr>
    </w:tbl>
    <w:p w14:paraId="2CCC3C7A">
      <w:pPr>
        <w:spacing w:line="600" w:lineRule="exact"/>
        <w:jc w:val="center"/>
        <w:rPr>
          <w:rFonts w:eastAsia="华文中宋"/>
          <w:kern w:val="0"/>
          <w:sz w:val="36"/>
          <w:szCs w:val="36"/>
        </w:rPr>
      </w:pPr>
    </w:p>
    <w:p w14:paraId="3238E492">
      <w:pPr>
        <w:spacing w:line="600" w:lineRule="exact"/>
        <w:jc w:val="center"/>
        <w:outlineLvl w:val="0"/>
        <w:rPr>
          <w:rFonts w:eastAsia="华文中宋"/>
          <w:kern w:val="0"/>
          <w:sz w:val="36"/>
          <w:szCs w:val="36"/>
        </w:rPr>
      </w:pPr>
      <w:r>
        <w:rPr>
          <w:rFonts w:hint="eastAsia" w:ascii="华文中宋" w:eastAsia="华文中宋"/>
          <w:kern w:val="0"/>
          <w:sz w:val="36"/>
          <w:szCs w:val="36"/>
        </w:rPr>
        <w:t>第二部分：项目征集指南</w:t>
      </w:r>
    </w:p>
    <w:p w14:paraId="4BA57D1F">
      <w:pPr>
        <w:spacing w:line="600" w:lineRule="exact"/>
        <w:ind w:firstLine="420" w:firstLineChars="200"/>
        <w:jc w:val="center"/>
        <w:rPr>
          <w:rFonts w:hint="eastAsia" w:ascii="黑体" w:hAnsi="黑体" w:eastAsia="黑体"/>
          <w:szCs w:val="21"/>
        </w:rPr>
      </w:pPr>
    </w:p>
    <w:p w14:paraId="26BDDE10">
      <w:pPr>
        <w:spacing w:line="560" w:lineRule="exact"/>
        <w:ind w:firstLine="640" w:firstLineChars="200"/>
        <w:outlineLvl w:val="2"/>
        <w:rPr>
          <w:rFonts w:eastAsia="黑体"/>
          <w:sz w:val="32"/>
          <w:szCs w:val="32"/>
        </w:rPr>
      </w:pPr>
      <w:r>
        <w:rPr>
          <w:rFonts w:hint="eastAsia" w:ascii="黑体" w:eastAsia="黑体"/>
          <w:sz w:val="32"/>
          <w:szCs w:val="32"/>
        </w:rPr>
        <w:t>一、高质量知识产权创造项目</w:t>
      </w:r>
    </w:p>
    <w:p w14:paraId="5CFCD072">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（一）支持方向1：国家知识产权示范企业培育</w:t>
      </w:r>
    </w:p>
    <w:p w14:paraId="69D58DF0">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40B318F0">
      <w:pPr>
        <w:spacing w:line="600" w:lineRule="exact"/>
        <w:ind w:firstLine="640" w:firstLineChars="200"/>
        <w:rPr>
          <w:rFonts w:ascii="仿宋_GB2312" w:eastAsia="仿宋_GB2312"/>
          <w:sz w:val="32"/>
          <w:szCs w:val="32"/>
        </w:rPr>
      </w:pPr>
      <w:r>
        <w:rPr>
          <w:rFonts w:hint="eastAsia" w:ascii="仿宋_GB2312" w:eastAsia="仿宋_GB2312"/>
          <w:sz w:val="32"/>
          <w:szCs w:val="32"/>
        </w:rPr>
        <w:t>深入贯彻落实国家知识产权战略，加强知识产权强市建设，提升我市企业知识产权综合能力，培育一批具备知识产权战略管理理念、综合竞争优势突出、具有行业影响力的示范企业，带动企业运用知识产权提升市场竞争优势，推动高质量发展。</w:t>
      </w:r>
    </w:p>
    <w:p w14:paraId="31D0867B">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27C3E79D">
      <w:pPr>
        <w:spacing w:line="600" w:lineRule="exact"/>
        <w:ind w:firstLine="640" w:firstLineChars="200"/>
        <w:rPr>
          <w:rFonts w:ascii="仿宋_GB2312" w:eastAsia="仿宋_GB2312"/>
          <w:sz w:val="32"/>
          <w:szCs w:val="32"/>
        </w:rPr>
      </w:pPr>
      <w:r>
        <w:rPr>
          <w:rFonts w:hint="eastAsia" w:ascii="仿宋_GB2312" w:eastAsia="仿宋_GB2312"/>
          <w:sz w:val="32"/>
          <w:szCs w:val="32"/>
        </w:rPr>
        <w:t>（1）申报单位应是依照《公司法》注册的具有独立法人资格的有限责任公司、股份有限公司。已认定的国家知识产权示范企业或示范企业创建对象不在培育范围内。</w:t>
      </w:r>
    </w:p>
    <w:p w14:paraId="21993E17">
      <w:pPr>
        <w:spacing w:line="600" w:lineRule="exact"/>
        <w:ind w:firstLine="640" w:firstLineChars="200"/>
        <w:rPr>
          <w:rFonts w:ascii="仿宋_GB2312" w:eastAsia="仿宋_GB2312"/>
          <w:sz w:val="32"/>
          <w:szCs w:val="32"/>
        </w:rPr>
      </w:pPr>
      <w:r>
        <w:rPr>
          <w:rFonts w:hint="eastAsia" w:ascii="仿宋_GB2312" w:eastAsia="仿宋_GB2312"/>
          <w:sz w:val="32"/>
          <w:szCs w:val="32"/>
        </w:rPr>
        <w:t>（2）申报单位应建立较完善的知识产权管理体系，包括知识产权管理机构、管理制度、管理人员，近三年有持续的知识产权经费投入。</w:t>
      </w:r>
    </w:p>
    <w:p w14:paraId="0EEFB9D9">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1DB963DF">
      <w:pPr>
        <w:spacing w:line="600" w:lineRule="exact"/>
        <w:ind w:firstLine="640" w:firstLineChars="200"/>
        <w:rPr>
          <w:rFonts w:ascii="仿宋_GB2312" w:eastAsia="仿宋_GB2312"/>
          <w:sz w:val="32"/>
          <w:szCs w:val="32"/>
        </w:rPr>
      </w:pPr>
      <w:r>
        <w:rPr>
          <w:rFonts w:hint="eastAsia" w:ascii="仿宋_GB2312" w:eastAsia="仿宋_GB2312"/>
          <w:sz w:val="32"/>
          <w:szCs w:val="32"/>
        </w:rPr>
        <w:t>（1）完善知识产权管理制度、组织架构和工作流程等，确保各项制度落地实施；贯彻《企业知识产权管理规范》和《创新管理——知识产权管理指南（ISO56005）》；知识产权工作经费持续增长。</w:t>
      </w:r>
    </w:p>
    <w:p w14:paraId="6C3911AA">
      <w:pPr>
        <w:spacing w:line="600" w:lineRule="exact"/>
        <w:ind w:firstLine="640" w:firstLineChars="200"/>
        <w:rPr>
          <w:rFonts w:ascii="仿宋_GB2312" w:eastAsia="仿宋_GB2312"/>
          <w:sz w:val="32"/>
          <w:szCs w:val="32"/>
        </w:rPr>
      </w:pPr>
      <w:r>
        <w:rPr>
          <w:rFonts w:hint="eastAsia" w:ascii="仿宋_GB2312" w:eastAsia="仿宋_GB2312"/>
          <w:sz w:val="32"/>
          <w:szCs w:val="32"/>
        </w:rPr>
        <w:t>（2）聚焦主营业务核心技术攻关优化专利布局，发明专利有效量较上年度实现增长；开展专利微导航、专利信息分析等，形成专利导航或分析报告；组织不少于2期知识产权创造专题培训，提升企业研发人员的专利挖掘、布局及申请能力。</w:t>
      </w:r>
    </w:p>
    <w:p w14:paraId="646794AD">
      <w:pPr>
        <w:spacing w:line="600" w:lineRule="exact"/>
        <w:ind w:firstLine="640" w:firstLineChars="200"/>
        <w:rPr>
          <w:rFonts w:ascii="仿宋_GB2312" w:eastAsia="仿宋_GB2312"/>
          <w:sz w:val="32"/>
          <w:szCs w:val="32"/>
        </w:rPr>
      </w:pPr>
      <w:r>
        <w:rPr>
          <w:rFonts w:hint="eastAsia" w:ascii="仿宋_GB2312" w:eastAsia="仿宋_GB2312"/>
          <w:sz w:val="32"/>
          <w:szCs w:val="32"/>
        </w:rPr>
        <w:t>（3）开展专利密集型产品备案，新开展至少1件专利密集型产品备案或产品备案信息年度更新；积极参与专利转化运用专项行动，专利产业化率较上年度实现增长；积极探索知识产权转让、许可、质押融资等，拓宽知识产权价值实现路径。</w:t>
      </w:r>
    </w:p>
    <w:p w14:paraId="74BF9CAB">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75EA3491">
      <w:pPr>
        <w:spacing w:line="600" w:lineRule="exact"/>
        <w:ind w:firstLine="640" w:firstLineChars="200"/>
        <w:rPr>
          <w:rFonts w:ascii="仿宋_GB2312" w:eastAsia="仿宋_GB2312"/>
          <w:sz w:val="32"/>
          <w:szCs w:val="32"/>
        </w:rPr>
      </w:pPr>
      <w:r>
        <w:rPr>
          <w:rFonts w:hint="eastAsia" w:ascii="仿宋_GB2312" w:eastAsia="仿宋_GB2312"/>
          <w:sz w:val="32"/>
          <w:szCs w:val="32"/>
        </w:rPr>
        <w:t>（1）择优确定不超过30个资助项目。</w:t>
      </w:r>
    </w:p>
    <w:p w14:paraId="34EFA6F9">
      <w:pPr>
        <w:spacing w:line="600" w:lineRule="exact"/>
        <w:ind w:firstLine="640" w:firstLineChars="200"/>
        <w:rPr>
          <w:rFonts w:ascii="仿宋_GB2312" w:eastAsia="仿宋_GB2312"/>
          <w:sz w:val="32"/>
          <w:szCs w:val="32"/>
        </w:rPr>
      </w:pPr>
      <w:r>
        <w:rPr>
          <w:rFonts w:hint="eastAsia" w:ascii="仿宋_GB2312" w:eastAsia="仿宋_GB2312"/>
          <w:sz w:val="32"/>
          <w:szCs w:val="32"/>
        </w:rPr>
        <w:t>（2）项目周期为2026年1月—9月。2026年10月进行项目结项验收，对通过验收的企业进行资助。单个企业资助金额不超过10万元，企业自筹资金比例不低于1：1。</w:t>
      </w:r>
    </w:p>
    <w:p w14:paraId="68E56184">
      <w:pPr>
        <w:spacing w:line="600" w:lineRule="exact"/>
        <w:ind w:firstLine="640" w:firstLineChars="200"/>
        <w:rPr>
          <w:rFonts w:ascii="仿宋_GB2312" w:eastAsia="仿宋_GB2312"/>
          <w:sz w:val="32"/>
          <w:szCs w:val="32"/>
        </w:rPr>
      </w:pPr>
      <w:r>
        <w:rPr>
          <w:rFonts w:hint="eastAsia" w:ascii="仿宋_GB2312" w:eastAsia="仿宋_GB2312"/>
          <w:sz w:val="32"/>
          <w:szCs w:val="32"/>
        </w:rPr>
        <w:t>（3）资助资金专项用于企业开展知识产权管理体系建设、知识产权创造与布局、知识产权运营等相关工作。</w:t>
      </w:r>
    </w:p>
    <w:p w14:paraId="42DAF499">
      <w:pPr>
        <w:spacing w:line="600" w:lineRule="exact"/>
        <w:ind w:firstLine="640" w:firstLineChars="200"/>
        <w:rPr>
          <w:rFonts w:ascii="仿宋_GB2312" w:eastAsia="仿宋_GB2312"/>
          <w:sz w:val="32"/>
          <w:szCs w:val="32"/>
        </w:rPr>
      </w:pPr>
      <w:r>
        <w:rPr>
          <w:rFonts w:hint="eastAsia" w:ascii="仿宋_GB2312" w:eastAsia="仿宋_GB2312"/>
          <w:sz w:val="32"/>
          <w:szCs w:val="32"/>
        </w:rPr>
        <w:t>（4）通过验收的企业自动进入我市国家知识产权示范企业培育库进行重点培育。</w:t>
      </w:r>
    </w:p>
    <w:p w14:paraId="64E65DC8">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项目咨询人：孙志艳；咨询电话：23039895</w:t>
      </w:r>
    </w:p>
    <w:p w14:paraId="74A8B771">
      <w:pPr>
        <w:spacing w:line="600"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（二）支持方向2：知识产权创新文化</w:t>
      </w:r>
    </w:p>
    <w:p w14:paraId="07925893">
      <w:pPr>
        <w:spacing w:line="60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145CAFE2">
      <w:pPr>
        <w:spacing w:line="600" w:lineRule="exact"/>
        <w:ind w:firstLine="640" w:firstLineChars="200"/>
        <w:rPr>
          <w:rFonts w:ascii="仿宋_GB2312" w:eastAsia="仿宋_GB2312"/>
          <w:sz w:val="32"/>
          <w:szCs w:val="32"/>
        </w:rPr>
      </w:pPr>
      <w:r>
        <w:rPr>
          <w:rFonts w:hint="eastAsia" w:ascii="仿宋_GB2312" w:eastAsia="仿宋_GB2312"/>
          <w:sz w:val="32"/>
          <w:szCs w:val="32"/>
        </w:rPr>
        <w:t>开展知识产权双创大赛,利用知识产权精准推进创新创业工作，激发创新创业活力，促进新质生产力培育;开展青少年知识产权教育,培养青少年知识产权创新意识,助力知识产权强市建设。</w:t>
      </w:r>
    </w:p>
    <w:p w14:paraId="42D43895">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628B90E8">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申报单位应具有知识产权宣传培训活动以及知识产权相关大赛工作经验。</w:t>
      </w:r>
    </w:p>
    <w:p w14:paraId="1F42F9E3">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677938A1">
      <w:pPr>
        <w:spacing w:line="600" w:lineRule="exact"/>
        <w:ind w:firstLine="640" w:firstLineChars="200"/>
        <w:rPr>
          <w:rFonts w:ascii="仿宋_GB2312" w:eastAsia="仿宋_GB2312"/>
          <w:sz w:val="32"/>
          <w:szCs w:val="32"/>
        </w:rPr>
      </w:pPr>
      <w:r>
        <w:rPr>
          <w:rFonts w:hint="eastAsia" w:ascii="仿宋_GB2312" w:eastAsia="仿宋_GB2312"/>
          <w:sz w:val="32"/>
          <w:szCs w:val="32"/>
        </w:rPr>
        <w:t>（1）项目期内，开展全市知识产权创新创业发明与设计大赛，遴选出不少于60个优秀专利项目进行推介;组织全市大学生知识产权创新创业发明与设计大赛等不少于3个特色初赛；组织创新创业发明与设计大赛的推介宣传培训活动不少于10次；组织推荐专利创业奖相关工作；建立大赛参赛项目数据库，提交参赛项目分析报告并开展推动项目实施转化工作。</w:t>
      </w:r>
      <w:r>
        <w:rPr>
          <w:rFonts w:hint="eastAsia" w:ascii="仿宋_GB2312" w:eastAsia="仿宋_GB2312"/>
          <w:sz w:val="32"/>
          <w:szCs w:val="32"/>
        </w:rPr>
        <w:tab/>
      </w:r>
    </w:p>
    <w:p w14:paraId="307E570D">
      <w:pPr>
        <w:spacing w:line="600" w:lineRule="exact"/>
        <w:ind w:firstLine="640" w:firstLineChars="200"/>
        <w:rPr>
          <w:rFonts w:ascii="仿宋_GB2312" w:eastAsia="仿宋_GB2312"/>
          <w:sz w:val="32"/>
          <w:szCs w:val="32"/>
        </w:rPr>
      </w:pPr>
      <w:r>
        <w:rPr>
          <w:rFonts w:hint="eastAsia" w:ascii="仿宋_GB2312" w:eastAsia="仿宋_GB2312"/>
          <w:sz w:val="32"/>
          <w:szCs w:val="32"/>
        </w:rPr>
        <w:t>（2）项目期内，组织实施全市青少年知识产权教育活动，鼓励青少年开展发明创造。组织开展知识产权宣传教育培训活动不少于10次，参与人数不少于500人。</w:t>
      </w:r>
    </w:p>
    <w:p w14:paraId="79DE4A09">
      <w:pPr>
        <w:spacing w:line="600" w:lineRule="exact"/>
        <w:ind w:firstLine="640" w:firstLineChars="200"/>
        <w:rPr>
          <w:rFonts w:ascii="仿宋_GB2312" w:eastAsia="仿宋_GB2312"/>
          <w:sz w:val="32"/>
          <w:szCs w:val="32"/>
        </w:rPr>
      </w:pPr>
      <w:r>
        <w:rPr>
          <w:rFonts w:hint="eastAsia" w:ascii="仿宋_GB2312" w:eastAsia="仿宋_GB2312"/>
          <w:sz w:val="32"/>
          <w:szCs w:val="32"/>
        </w:rPr>
        <w:t>（3）按季度向项目主管处室报送项目实施成效、典型案例等信息和建议。</w:t>
      </w:r>
    </w:p>
    <w:p w14:paraId="5FCB43F0">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r>
        <w:rPr>
          <w:rFonts w:hint="eastAsia" w:ascii="仿宋_GB2312" w:eastAsia="仿宋_GB2312"/>
          <w:sz w:val="32"/>
          <w:szCs w:val="32"/>
        </w:rPr>
        <w:tab/>
      </w:r>
    </w:p>
    <w:p w14:paraId="13FA3405">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择优确定1个资助项目，项目资助金额不超过20万元，项目周期1年。</w:t>
      </w:r>
    </w:p>
    <w:p w14:paraId="00AA5187">
      <w:pPr>
        <w:spacing w:line="600" w:lineRule="exact"/>
        <w:ind w:firstLine="640" w:firstLineChars="200"/>
        <w:rPr>
          <w:rFonts w:ascii="仿宋_GB2312" w:eastAsia="仿宋_GB2312"/>
          <w:b/>
          <w:bCs/>
          <w:sz w:val="32"/>
          <w:szCs w:val="32"/>
        </w:rPr>
      </w:pPr>
      <w:r>
        <w:rPr>
          <w:rFonts w:hint="eastAsia" w:ascii="仿宋_GB2312" w:eastAsia="仿宋_GB2312"/>
          <w:sz w:val="32"/>
          <w:szCs w:val="32"/>
        </w:rPr>
        <w:t>项目咨询人：张军；咨询电话：23039857</w:t>
      </w:r>
    </w:p>
    <w:p w14:paraId="210653E1">
      <w:pPr>
        <w:spacing w:line="600"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（三）支持方向3：天开园高质量知识产权创造服务</w:t>
      </w:r>
    </w:p>
    <w:p w14:paraId="0ACC9C2F">
      <w:pPr>
        <w:spacing w:line="60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669073F4">
      <w:pPr>
        <w:spacing w:line="600" w:lineRule="exact"/>
        <w:ind w:firstLine="640" w:firstLineChars="200"/>
        <w:rPr>
          <w:rFonts w:ascii="仿宋_GB2312" w:eastAsia="仿宋_GB2312"/>
          <w:sz w:val="32"/>
          <w:szCs w:val="32"/>
        </w:rPr>
      </w:pPr>
      <w:r>
        <w:rPr>
          <w:rFonts w:hint="eastAsia" w:ascii="仿宋_GB2312" w:eastAsia="仿宋_GB2312"/>
          <w:sz w:val="32"/>
          <w:szCs w:val="32"/>
        </w:rPr>
        <w:t>支持知识产权服务机构对天开高教科创园等重点园区各类创新主体加强服务，引导创新主体规范知识产权管理，加强专利布局，提高专利质量。支持知识产权服务机构对园区重点创新主体开展专利导航分析，为企业技术研发、产品投入市场、知识产权保护等提供有力支撑。</w:t>
      </w:r>
    </w:p>
    <w:p w14:paraId="4EBD34AA">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4B9A37D2">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申报单位应当具有专业组织知识产权宣传培训活动以及服务创新主体、解决知识产权问题的工作经验。</w:t>
      </w:r>
    </w:p>
    <w:p w14:paraId="765C59DD">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4FF066AD">
      <w:pPr>
        <w:spacing w:line="600" w:lineRule="exact"/>
        <w:ind w:firstLine="640" w:firstLineChars="200"/>
        <w:rPr>
          <w:rFonts w:ascii="仿宋_GB2312" w:eastAsia="仿宋_GB2312"/>
          <w:sz w:val="32"/>
          <w:szCs w:val="32"/>
        </w:rPr>
      </w:pPr>
      <w:r>
        <w:rPr>
          <w:rFonts w:hint="eastAsia" w:ascii="仿宋_GB2312" w:eastAsia="仿宋_GB2312"/>
          <w:sz w:val="32"/>
          <w:szCs w:val="32"/>
        </w:rPr>
        <w:t>以下任务A和任务B任选1项：</w:t>
      </w:r>
    </w:p>
    <w:p w14:paraId="549FCA32">
      <w:pPr>
        <w:spacing w:line="600" w:lineRule="exact"/>
        <w:ind w:firstLine="640" w:firstLineChars="200"/>
        <w:rPr>
          <w:rFonts w:ascii="仿宋_GB2312" w:eastAsia="仿宋_GB2312"/>
          <w:sz w:val="32"/>
          <w:szCs w:val="32"/>
        </w:rPr>
      </w:pPr>
      <w:r>
        <w:rPr>
          <w:rFonts w:hint="eastAsia" w:ascii="仿宋_GB2312" w:eastAsia="仿宋_GB2312"/>
          <w:sz w:val="32"/>
          <w:szCs w:val="32"/>
        </w:rPr>
        <w:t>任务A：</w:t>
      </w:r>
    </w:p>
    <w:p w14:paraId="111CC7B8">
      <w:pPr>
        <w:spacing w:line="600" w:lineRule="exact"/>
        <w:ind w:firstLine="640" w:firstLineChars="200"/>
        <w:rPr>
          <w:rFonts w:ascii="仿宋_GB2312" w:eastAsia="仿宋_GB2312"/>
          <w:sz w:val="32"/>
          <w:szCs w:val="32"/>
        </w:rPr>
      </w:pPr>
      <w:r>
        <w:rPr>
          <w:rFonts w:hint="eastAsia" w:ascii="仿宋_GB2312" w:eastAsia="仿宋_GB2312"/>
          <w:sz w:val="32"/>
          <w:szCs w:val="32"/>
        </w:rPr>
        <w:t>（1）项目期内，对天开高教科创园等重点园区各类创新主体加强服务，宣传推广《企业知识产权合规管理体系要求（GB/T29490-2023）》，引导创新主体规范知识产权管理，加强专利储备，提高专利创造质量，形成专利布局，强化知识产权保护。组织专题培训不少于10场，开展企业知识产权创造、运用、保护、管理全链条指导服务不少于20家，为不少于10家园区企业提供《知识产权能力提升解决方案》，为不少于10家园区企业提供专利申请前评估服务并形成评估报告。</w:t>
      </w:r>
    </w:p>
    <w:p w14:paraId="1826925F">
      <w:pPr>
        <w:spacing w:line="600" w:lineRule="exact"/>
        <w:ind w:firstLine="640" w:firstLineChars="200"/>
        <w:rPr>
          <w:rFonts w:ascii="仿宋_GB2312" w:eastAsia="仿宋_GB2312"/>
          <w:sz w:val="32"/>
          <w:szCs w:val="32"/>
        </w:rPr>
      </w:pPr>
      <w:r>
        <w:rPr>
          <w:rFonts w:hint="eastAsia" w:ascii="仿宋_GB2312" w:eastAsia="仿宋_GB2312"/>
          <w:sz w:val="32"/>
          <w:szCs w:val="32"/>
        </w:rPr>
        <w:t>（2）按季度向项目主管处室报送项目进展情况、实施成效、典型案例或建议。</w:t>
      </w:r>
    </w:p>
    <w:p w14:paraId="1ACA06A7">
      <w:pPr>
        <w:spacing w:line="600" w:lineRule="exact"/>
        <w:ind w:firstLine="640" w:firstLineChars="200"/>
        <w:rPr>
          <w:rFonts w:ascii="仿宋_GB2312" w:eastAsia="仿宋_GB2312"/>
          <w:sz w:val="32"/>
          <w:szCs w:val="32"/>
        </w:rPr>
      </w:pPr>
      <w:r>
        <w:rPr>
          <w:rFonts w:hint="eastAsia" w:ascii="仿宋_GB2312" w:eastAsia="仿宋_GB2312"/>
          <w:sz w:val="32"/>
          <w:szCs w:val="32"/>
        </w:rPr>
        <w:t>任务B：</w:t>
      </w:r>
    </w:p>
    <w:p w14:paraId="536DFABA">
      <w:pPr>
        <w:spacing w:line="600" w:lineRule="exact"/>
        <w:ind w:firstLine="640" w:firstLineChars="200"/>
        <w:rPr>
          <w:rFonts w:ascii="仿宋_GB2312" w:eastAsia="仿宋_GB2312"/>
          <w:sz w:val="32"/>
          <w:szCs w:val="32"/>
        </w:rPr>
      </w:pPr>
      <w:r>
        <w:rPr>
          <w:rFonts w:hint="eastAsia" w:ascii="仿宋_GB2312" w:eastAsia="仿宋_GB2312"/>
          <w:sz w:val="32"/>
          <w:szCs w:val="32"/>
        </w:rPr>
        <w:t>（1）项目期内，助力天开高教科创园内天津海河实验室、天津大学、南开大学等重要创新主体开展关键核心技术攻关，为创新主体开展“点对点”专项服务不少于5次，提供专利申请前评估服务不少于5次，开展研发类专利导航不少于2次，并形成专利导航报告。</w:t>
      </w:r>
    </w:p>
    <w:p w14:paraId="3D38850A">
      <w:pPr>
        <w:spacing w:line="600" w:lineRule="exact"/>
        <w:ind w:firstLine="640" w:firstLineChars="200"/>
        <w:rPr>
          <w:rFonts w:ascii="仿宋_GB2312" w:eastAsia="仿宋_GB2312"/>
          <w:sz w:val="32"/>
          <w:szCs w:val="32"/>
        </w:rPr>
      </w:pPr>
      <w:r>
        <w:rPr>
          <w:rFonts w:hint="eastAsia" w:ascii="仿宋_GB2312" w:eastAsia="仿宋_GB2312"/>
          <w:sz w:val="32"/>
          <w:szCs w:val="32"/>
        </w:rPr>
        <w:t>（2）按季度向项目主管处室报送项目进展情况、实施成效、典型案例或建议。</w:t>
      </w:r>
    </w:p>
    <w:p w14:paraId="3C54B7CF">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r>
        <w:rPr>
          <w:rFonts w:hint="eastAsia" w:ascii="仿宋_GB2312" w:eastAsia="仿宋_GB2312"/>
          <w:sz w:val="32"/>
          <w:szCs w:val="32"/>
        </w:rPr>
        <w:tab/>
      </w:r>
    </w:p>
    <w:p w14:paraId="191C5E9D">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择优确定任务A和任务B项目各1项，任务A项目资助金额不超过10万,任务B项目资助金额不超过20万。项目周期1年。</w:t>
      </w:r>
    </w:p>
    <w:p w14:paraId="70665B6A">
      <w:pPr>
        <w:spacing w:line="600" w:lineRule="exact"/>
        <w:ind w:firstLine="640" w:firstLineChars="200"/>
        <w:rPr>
          <w:rFonts w:ascii="仿宋_GB2312" w:eastAsia="仿宋_GB2312"/>
          <w:sz w:val="32"/>
          <w:szCs w:val="32"/>
        </w:rPr>
      </w:pPr>
      <w:r>
        <w:rPr>
          <w:rFonts w:hint="eastAsia" w:ascii="仿宋_GB2312" w:eastAsia="仿宋_GB2312"/>
          <w:sz w:val="32"/>
          <w:szCs w:val="32"/>
        </w:rPr>
        <w:t>项目联系人：刘臣；联系电话：23039856</w:t>
      </w:r>
    </w:p>
    <w:p w14:paraId="21CDDC0F">
      <w:pPr>
        <w:spacing w:line="600"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（四）支持方向4：产业规划类专利导航</w:t>
      </w:r>
    </w:p>
    <w:p w14:paraId="717FEA50">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534CE81C">
      <w:pPr>
        <w:spacing w:line="600" w:lineRule="exact"/>
        <w:ind w:firstLine="640" w:firstLineChars="200"/>
        <w:rPr>
          <w:rFonts w:ascii="仿宋_GB2312" w:eastAsia="仿宋_GB2312"/>
          <w:sz w:val="32"/>
          <w:szCs w:val="32"/>
        </w:rPr>
      </w:pPr>
      <w:r>
        <w:rPr>
          <w:rFonts w:hint="eastAsia" w:ascii="仿宋_GB2312" w:eastAsia="仿宋_GB2312"/>
          <w:sz w:val="32"/>
          <w:szCs w:val="32"/>
        </w:rPr>
        <w:t>支持国家级专利导航服务基地建设，围绕新兴产业和未来产业开展专利导航分析，强化导航成果运用，完善导航成果共享使用机制，为相关部门制定产业规划、招商引资等提供参考，引导重点产业链企业优化专利布局，助力重点产业创新主体实现关键核心技术突破，提升产业核心竞争力。</w:t>
      </w:r>
    </w:p>
    <w:p w14:paraId="48716D7C">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42821CCB">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申报单位应为国家知识产权局批复建设的国家级专利导航服务基地</w:t>
      </w:r>
      <w:r>
        <w:rPr>
          <w:rFonts w:ascii="仿宋_GB2312" w:eastAsia="仿宋_GB2312"/>
          <w:sz w:val="32"/>
          <w:szCs w:val="32"/>
        </w:rPr>
        <w:t>,</w:t>
      </w:r>
      <w:r>
        <w:rPr>
          <w:rFonts w:hint="eastAsia" w:ascii="仿宋_GB2312" w:eastAsia="仿宋_GB2312"/>
          <w:sz w:val="32"/>
          <w:szCs w:val="32"/>
        </w:rPr>
        <w:t>或国家知识产权局批复建设的国家级专利导航服务基地联合具有知识产权信息分析、咨询及服务能力的企事业单位，其应拥有规范的专利数据源，具有承担项目任务的人员，有较好的知识产权工作基础，具备开展产业专利导航分析的实施条件。</w:t>
      </w:r>
    </w:p>
    <w:p w14:paraId="14975D0F">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0DD9BC9A">
      <w:pPr>
        <w:spacing w:line="600" w:lineRule="exact"/>
        <w:ind w:firstLine="640" w:firstLineChars="200"/>
        <w:rPr>
          <w:rFonts w:ascii="仿宋_GB2312" w:eastAsia="仿宋_GB2312"/>
          <w:sz w:val="32"/>
          <w:szCs w:val="32"/>
        </w:rPr>
      </w:pPr>
      <w:r>
        <w:rPr>
          <w:rFonts w:hint="eastAsia" w:ascii="仿宋_GB2312" w:eastAsia="仿宋_GB2312"/>
          <w:sz w:val="32"/>
          <w:szCs w:val="32"/>
        </w:rPr>
        <w:t>以下任务A和任务B任选1项：</w:t>
      </w:r>
    </w:p>
    <w:p w14:paraId="7525239A">
      <w:pPr>
        <w:spacing w:line="600" w:lineRule="exact"/>
        <w:ind w:firstLine="640" w:firstLineChars="200"/>
        <w:rPr>
          <w:rFonts w:ascii="仿宋_GB2312" w:eastAsia="仿宋_GB2312"/>
          <w:sz w:val="32"/>
          <w:szCs w:val="32"/>
        </w:rPr>
      </w:pPr>
      <w:r>
        <w:rPr>
          <w:rFonts w:hint="eastAsia" w:ascii="仿宋_GB2312" w:eastAsia="仿宋_GB2312"/>
          <w:sz w:val="32"/>
          <w:szCs w:val="32"/>
        </w:rPr>
        <w:t>任务A:</w:t>
      </w:r>
    </w:p>
    <w:p w14:paraId="2CD3CBF9">
      <w:pPr>
        <w:spacing w:line="600" w:lineRule="exact"/>
        <w:ind w:firstLine="640" w:firstLineChars="200"/>
        <w:rPr>
          <w:rFonts w:ascii="仿宋_GB2312" w:eastAsia="仿宋_GB2312"/>
          <w:sz w:val="32"/>
          <w:szCs w:val="32"/>
        </w:rPr>
      </w:pPr>
      <w:r>
        <w:rPr>
          <w:rFonts w:hint="eastAsia" w:ascii="仿宋_GB2312" w:eastAsia="仿宋_GB2312"/>
          <w:sz w:val="32"/>
          <w:szCs w:val="32"/>
        </w:rPr>
        <w:t>（1）开展三个重点产业专利导航分析。围绕新能源、循环经济、氢能及新型储能三个产业或围绕新材料、智能超算、机器人三个产业（二选一），参照国家标准《专利导航指南》（GB/T39551-2020）要求，完成产业专利导航分析，每个产业形成4万字以上产业专利导航报告和5千字以内的报告简本。报告应明确我市该产业领域在全球和我国产业链中的定位，形成相对细化的产业发展、技术创新或产品开发保护、专利布局导向目录，提供产业结构化、技术创新路径、招商引资和招才引智等具有针对性的建议。</w:t>
      </w:r>
    </w:p>
    <w:p w14:paraId="5444E134">
      <w:pPr>
        <w:spacing w:line="600" w:lineRule="exact"/>
        <w:ind w:firstLine="640" w:firstLineChars="200"/>
        <w:rPr>
          <w:rFonts w:ascii="仿宋_GB2312" w:eastAsia="仿宋_GB2312"/>
          <w:sz w:val="32"/>
          <w:szCs w:val="32"/>
        </w:rPr>
      </w:pPr>
      <w:r>
        <w:rPr>
          <w:rFonts w:hint="eastAsia" w:ascii="仿宋_GB2312" w:eastAsia="仿宋_GB2312"/>
          <w:sz w:val="32"/>
          <w:szCs w:val="32"/>
        </w:rPr>
        <w:t>（2）开展研讨交流。组织召开产业专利导航交流研讨活动，广泛邀请同行业企业、高校等参加，交流项目所属技术领域产业发展态势、最新技术成果、专利布局重点和侵权风险点并听取产业专利导航的意见建议。</w:t>
      </w:r>
    </w:p>
    <w:p w14:paraId="7180683F">
      <w:pPr>
        <w:spacing w:line="600" w:lineRule="exact"/>
        <w:ind w:firstLine="640" w:firstLineChars="200"/>
        <w:rPr>
          <w:rFonts w:ascii="仿宋_GB2312" w:eastAsia="仿宋_GB2312"/>
          <w:sz w:val="32"/>
          <w:szCs w:val="32"/>
        </w:rPr>
      </w:pPr>
      <w:r>
        <w:rPr>
          <w:rFonts w:hint="eastAsia" w:ascii="仿宋_GB2312" w:eastAsia="仿宋_GB2312"/>
          <w:sz w:val="32"/>
          <w:szCs w:val="32"/>
        </w:rPr>
        <w:t>（3）为产业链创新主体提供服务。项目期内，为每个产业链创新主体服务不少于10家。</w:t>
      </w:r>
    </w:p>
    <w:p w14:paraId="662C295A">
      <w:pPr>
        <w:spacing w:line="600" w:lineRule="exact"/>
        <w:ind w:firstLine="640" w:firstLineChars="200"/>
        <w:rPr>
          <w:rFonts w:ascii="仿宋_GB2312" w:eastAsia="仿宋_GB2312"/>
          <w:sz w:val="32"/>
          <w:szCs w:val="32"/>
        </w:rPr>
      </w:pPr>
      <w:r>
        <w:rPr>
          <w:rFonts w:hint="eastAsia" w:ascii="仿宋_GB2312" w:eastAsia="仿宋_GB2312"/>
          <w:sz w:val="32"/>
          <w:szCs w:val="32"/>
        </w:rPr>
        <w:t>（4）建立专题数据库。根据重点产业链技术领域发展态势，建立专利导航分析数据库及数据库检索工具。</w:t>
      </w:r>
    </w:p>
    <w:p w14:paraId="473B5443">
      <w:pPr>
        <w:spacing w:line="600" w:lineRule="exact"/>
        <w:ind w:firstLine="640" w:firstLineChars="200"/>
        <w:rPr>
          <w:rFonts w:ascii="仿宋_GB2312" w:eastAsia="仿宋_GB2312"/>
          <w:sz w:val="32"/>
          <w:szCs w:val="32"/>
        </w:rPr>
      </w:pPr>
      <w:r>
        <w:rPr>
          <w:rFonts w:hint="eastAsia" w:ascii="仿宋_GB2312" w:eastAsia="仿宋_GB2312"/>
          <w:sz w:val="32"/>
          <w:szCs w:val="32"/>
        </w:rPr>
        <w:t>（5）发布专利导航成果。项目承担单位及时邀请相关政府部门、功能区、协会、产业链主企业、高校院所等，召开产业专利导航分析成果发布会，并在国家专利导航综合服务平台上对外发布分析成果。</w:t>
      </w:r>
    </w:p>
    <w:p w14:paraId="4A1C5DC3">
      <w:pPr>
        <w:spacing w:line="600" w:lineRule="exact"/>
        <w:ind w:firstLine="640" w:firstLineChars="200"/>
        <w:rPr>
          <w:rFonts w:ascii="仿宋_GB2312" w:eastAsia="仿宋_GB2312"/>
          <w:sz w:val="32"/>
          <w:szCs w:val="32"/>
        </w:rPr>
      </w:pPr>
      <w:r>
        <w:rPr>
          <w:rFonts w:hint="eastAsia" w:ascii="仿宋_GB2312" w:eastAsia="仿宋_GB2312"/>
          <w:sz w:val="32"/>
          <w:szCs w:val="32"/>
        </w:rPr>
        <w:t>（6）按季度向项目主管处室报送项目实施成效、典型案例等信息和建议。</w:t>
      </w:r>
    </w:p>
    <w:p w14:paraId="3D45F05C">
      <w:pPr>
        <w:spacing w:line="600" w:lineRule="exact"/>
        <w:ind w:firstLine="640" w:firstLineChars="200"/>
        <w:rPr>
          <w:rFonts w:ascii="仿宋_GB2312" w:eastAsia="仿宋_GB2312"/>
          <w:sz w:val="32"/>
          <w:szCs w:val="32"/>
        </w:rPr>
      </w:pPr>
      <w:r>
        <w:rPr>
          <w:rFonts w:hint="eastAsia" w:ascii="仿宋_GB2312" w:eastAsia="仿宋_GB2312"/>
          <w:sz w:val="32"/>
          <w:szCs w:val="32"/>
        </w:rPr>
        <w:t>任务B：</w:t>
      </w:r>
    </w:p>
    <w:p w14:paraId="3F22D030">
      <w:pPr>
        <w:spacing w:line="600" w:lineRule="exact"/>
        <w:ind w:firstLine="640" w:firstLineChars="200"/>
        <w:rPr>
          <w:rFonts w:ascii="仿宋_GB2312" w:eastAsia="仿宋_GB2312"/>
          <w:sz w:val="32"/>
          <w:szCs w:val="32"/>
        </w:rPr>
      </w:pPr>
      <w:r>
        <w:rPr>
          <w:rFonts w:hint="eastAsia" w:ascii="仿宋_GB2312" w:eastAsia="仿宋_GB2312"/>
          <w:sz w:val="32"/>
          <w:szCs w:val="32"/>
        </w:rPr>
        <w:t>（1）开展一个重点产业专利导航分析。围绕低维材料产业，参照国家标准《专利导航指南》（GB/T39551-2020）要求，完成产业专利导航分析，形成4万字以上产业专利导航报告和5千字以内的报告简本。明确我市该产业领域在全球和我国产业链中的定位，形成相对细化的产业发展、技术创新或产品开发保护、专利布局导向目录，提供产业结构化、技术创新路径、招商引资和招才引智等具有针对性的建议。</w:t>
      </w:r>
    </w:p>
    <w:p w14:paraId="3599A851">
      <w:pPr>
        <w:spacing w:line="600" w:lineRule="exact"/>
        <w:ind w:firstLine="640" w:firstLineChars="200"/>
        <w:rPr>
          <w:rFonts w:ascii="仿宋_GB2312" w:eastAsia="仿宋_GB2312"/>
          <w:sz w:val="32"/>
          <w:szCs w:val="32"/>
        </w:rPr>
      </w:pPr>
      <w:r>
        <w:rPr>
          <w:rFonts w:hint="eastAsia" w:ascii="仿宋_GB2312" w:eastAsia="仿宋_GB2312"/>
          <w:sz w:val="32"/>
          <w:szCs w:val="32"/>
        </w:rPr>
        <w:t>（2）开展研讨交流。组织召开产业专利导航交流研讨活动，广泛邀请同行业企业、高校等参加，交流项目所属技术领域产业发展态势、最新技术成果、专利布局重点和侵权风险点并听取产业专利导航的意见建议。</w:t>
      </w:r>
    </w:p>
    <w:p w14:paraId="62DAEDF6">
      <w:pPr>
        <w:spacing w:line="600" w:lineRule="exact"/>
        <w:ind w:firstLine="640" w:firstLineChars="200"/>
        <w:rPr>
          <w:rFonts w:ascii="仿宋_GB2312" w:eastAsia="仿宋_GB2312"/>
          <w:sz w:val="32"/>
          <w:szCs w:val="32"/>
        </w:rPr>
      </w:pPr>
      <w:r>
        <w:rPr>
          <w:rFonts w:hint="eastAsia" w:ascii="仿宋_GB2312" w:eastAsia="仿宋_GB2312"/>
          <w:sz w:val="32"/>
          <w:szCs w:val="32"/>
        </w:rPr>
        <w:t>（3）为产业链创新主体提供服务。项目期内，为每个产业链创新主体服务不少于10家。</w:t>
      </w:r>
    </w:p>
    <w:p w14:paraId="03E7DB99">
      <w:pPr>
        <w:spacing w:line="600" w:lineRule="exact"/>
        <w:ind w:firstLine="640" w:firstLineChars="200"/>
        <w:rPr>
          <w:rFonts w:ascii="仿宋_GB2312" w:eastAsia="仿宋_GB2312"/>
          <w:sz w:val="32"/>
          <w:szCs w:val="32"/>
        </w:rPr>
      </w:pPr>
      <w:r>
        <w:rPr>
          <w:rFonts w:hint="eastAsia" w:ascii="仿宋_GB2312" w:eastAsia="仿宋_GB2312"/>
          <w:sz w:val="32"/>
          <w:szCs w:val="32"/>
        </w:rPr>
        <w:t>（4）建立专题数据库。根据重点产业链技术领域发展态势，建立专利导航分析数据库及数据库检索工具。</w:t>
      </w:r>
    </w:p>
    <w:p w14:paraId="70E03F44">
      <w:pPr>
        <w:spacing w:line="600" w:lineRule="exact"/>
        <w:ind w:firstLine="640" w:firstLineChars="200"/>
        <w:rPr>
          <w:rFonts w:ascii="仿宋_GB2312" w:eastAsia="仿宋_GB2312"/>
          <w:sz w:val="32"/>
          <w:szCs w:val="32"/>
        </w:rPr>
      </w:pPr>
      <w:r>
        <w:rPr>
          <w:rFonts w:hint="eastAsia" w:ascii="仿宋_GB2312" w:eastAsia="仿宋_GB2312"/>
          <w:sz w:val="32"/>
          <w:szCs w:val="32"/>
        </w:rPr>
        <w:t>（5）发布专利导航成果。项目承担单位及时邀请相关政府部门、功能区、协会、产业链主企业、高校院所等，召开产业专利导航分析成果发布会，并在国家专利导航综合服务平台上对外发布分析成果。</w:t>
      </w:r>
    </w:p>
    <w:p w14:paraId="65E806DE">
      <w:pPr>
        <w:spacing w:line="600" w:lineRule="exact"/>
        <w:ind w:firstLine="640" w:firstLineChars="200"/>
        <w:rPr>
          <w:rFonts w:ascii="仿宋_GB2312" w:eastAsia="仿宋_GB2312"/>
          <w:sz w:val="32"/>
          <w:szCs w:val="32"/>
        </w:rPr>
      </w:pPr>
      <w:r>
        <w:rPr>
          <w:rFonts w:hint="eastAsia" w:ascii="仿宋_GB2312" w:eastAsia="仿宋_GB2312"/>
          <w:sz w:val="32"/>
          <w:szCs w:val="32"/>
        </w:rPr>
        <w:t>（6）按季度向项目主管处室报送项目实施成效、典型案例等信息和建议。</w:t>
      </w:r>
    </w:p>
    <w:p w14:paraId="115C5389">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1DFD5CEE">
      <w:pPr>
        <w:spacing w:line="600" w:lineRule="exact"/>
        <w:ind w:firstLine="640" w:firstLineChars="200"/>
        <w:rPr>
          <w:rFonts w:ascii="仿宋_GB2312" w:eastAsia="仿宋_GB2312"/>
          <w:sz w:val="32"/>
          <w:szCs w:val="32"/>
        </w:rPr>
      </w:pPr>
      <w:r>
        <w:rPr>
          <w:rFonts w:hint="eastAsia" w:ascii="仿宋_GB2312" w:eastAsia="仿宋_GB2312"/>
          <w:sz w:val="32"/>
          <w:szCs w:val="32"/>
        </w:rPr>
        <w:t>任务A：择优确定2个资助项目，每个项目资助金额不超过45万元，项目周期1年；</w:t>
      </w:r>
    </w:p>
    <w:p w14:paraId="1BE2C5BE">
      <w:pPr>
        <w:spacing w:line="600" w:lineRule="exact"/>
        <w:ind w:firstLine="640" w:firstLineChars="200"/>
        <w:rPr>
          <w:rFonts w:ascii="仿宋_GB2312" w:eastAsia="仿宋_GB2312"/>
          <w:sz w:val="32"/>
          <w:szCs w:val="32"/>
        </w:rPr>
      </w:pPr>
      <w:r>
        <w:rPr>
          <w:rFonts w:hint="eastAsia" w:ascii="仿宋_GB2312" w:eastAsia="仿宋_GB2312"/>
          <w:sz w:val="32"/>
          <w:szCs w:val="32"/>
        </w:rPr>
        <w:t>任务B：择优确定1个资助项目，每个项目资助金额不超过15万元，项目周期1年。</w:t>
      </w:r>
    </w:p>
    <w:p w14:paraId="65C8D519">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项目咨询人：赵彬；咨询电话： 23039857</w:t>
      </w:r>
    </w:p>
    <w:p w14:paraId="64A4206F">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（五）支持方向5：海外专利布局</w:t>
      </w:r>
    </w:p>
    <w:p w14:paraId="077D21F0">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668B9EF8">
      <w:pPr>
        <w:spacing w:line="600" w:lineRule="exact"/>
        <w:ind w:firstLine="640" w:firstLineChars="200"/>
        <w:rPr>
          <w:rFonts w:ascii="仿宋_GB2312" w:eastAsia="仿宋_GB2312"/>
          <w:sz w:val="32"/>
          <w:szCs w:val="32"/>
        </w:rPr>
      </w:pPr>
      <w:r>
        <w:rPr>
          <w:rFonts w:hint="eastAsia" w:ascii="仿宋_GB2312" w:eastAsia="仿宋_GB2312"/>
          <w:sz w:val="32"/>
          <w:szCs w:val="32"/>
        </w:rPr>
        <w:t>服务我市12条重点产业链、新兴、未来产业领域的创新主体开展海外专利挖掘与布局，提升国际竞争力。</w:t>
      </w:r>
    </w:p>
    <w:p w14:paraId="155E856F">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6631B808">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申报单位应熟悉我市重要海外市场的知识产权法律法规和申请流程，拥有专业的海外专利布局团队，具备开展海外专利布局的经验或能力，能够为我市创新主体提供海外专利布局业务培训和一对一指导。</w:t>
      </w:r>
    </w:p>
    <w:p w14:paraId="1C6DFA67">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422BFFAF">
      <w:pPr>
        <w:spacing w:line="600" w:lineRule="exact"/>
        <w:ind w:firstLine="640" w:firstLineChars="200"/>
        <w:rPr>
          <w:rFonts w:ascii="仿宋_GB2312" w:eastAsia="仿宋_GB2312"/>
          <w:sz w:val="32"/>
          <w:szCs w:val="32"/>
        </w:rPr>
      </w:pPr>
      <w:r>
        <w:rPr>
          <w:rFonts w:hint="eastAsia" w:ascii="仿宋_GB2312" w:eastAsia="仿宋_GB2312"/>
          <w:sz w:val="32"/>
          <w:szCs w:val="32"/>
        </w:rPr>
        <w:t>（1）服务我市创新主体开展海外专利挖掘与布局。为创新主体提供专利申请前评估服务，提升创新主体海外专利布局能力，项目期内服务创新主体通过PCT途径布局不少于20件海外专利</w:t>
      </w:r>
      <w:r>
        <w:rPr>
          <w:rFonts w:ascii="仿宋_GB2312" w:eastAsia="仿宋_GB2312"/>
          <w:sz w:val="32"/>
          <w:szCs w:val="32"/>
        </w:rPr>
        <w:t>。</w:t>
      </w:r>
    </w:p>
    <w:p w14:paraId="2CFCB43E">
      <w:pPr>
        <w:spacing w:line="600" w:lineRule="exact"/>
        <w:ind w:firstLine="640" w:firstLineChars="200"/>
        <w:rPr>
          <w:rFonts w:ascii="仿宋_GB2312" w:eastAsia="仿宋_GB2312"/>
          <w:sz w:val="32"/>
          <w:szCs w:val="32"/>
        </w:rPr>
      </w:pPr>
      <w:r>
        <w:rPr>
          <w:rFonts w:hint="eastAsia" w:ascii="仿宋_GB2312" w:eastAsia="仿宋_GB2312"/>
          <w:sz w:val="32"/>
          <w:szCs w:val="32"/>
        </w:rPr>
        <w:t>（2）开展重点产业海外专利布局研究。围绕生物医药、新能源、机器人3个重点产业技术领域，开展海外专利布局情况研究，形成报告</w:t>
      </w:r>
      <w:r>
        <w:rPr>
          <w:rFonts w:ascii="仿宋_GB2312" w:eastAsia="仿宋_GB2312"/>
          <w:sz w:val="32"/>
          <w:szCs w:val="32"/>
        </w:rPr>
        <w:t>。</w:t>
      </w:r>
    </w:p>
    <w:p w14:paraId="759B75ED">
      <w:pPr>
        <w:spacing w:line="600" w:lineRule="exact"/>
        <w:ind w:firstLine="640" w:firstLineChars="200"/>
        <w:rPr>
          <w:rFonts w:ascii="仿宋_GB2312" w:eastAsia="仿宋_GB2312"/>
          <w:sz w:val="32"/>
          <w:szCs w:val="32"/>
        </w:rPr>
      </w:pPr>
      <w:r>
        <w:rPr>
          <w:rFonts w:hint="eastAsia" w:ascii="仿宋_GB2312" w:eastAsia="仿宋_GB2312"/>
          <w:sz w:val="32"/>
          <w:szCs w:val="32"/>
        </w:rPr>
        <w:t>（3）开展海外专利布局培训。开展不少于3场海外专利布局培训</w:t>
      </w:r>
      <w:r>
        <w:rPr>
          <w:rFonts w:ascii="仿宋_GB2312" w:eastAsia="仿宋_GB2312"/>
          <w:sz w:val="32"/>
          <w:szCs w:val="32"/>
        </w:rPr>
        <w:t>。</w:t>
      </w:r>
    </w:p>
    <w:p w14:paraId="68080945">
      <w:pPr>
        <w:spacing w:line="600" w:lineRule="exact"/>
        <w:ind w:firstLine="640" w:firstLineChars="200"/>
        <w:rPr>
          <w:rFonts w:ascii="仿宋_GB2312" w:eastAsia="仿宋_GB2312"/>
          <w:sz w:val="32"/>
          <w:szCs w:val="32"/>
        </w:rPr>
      </w:pPr>
      <w:r>
        <w:rPr>
          <w:rFonts w:hint="eastAsia" w:ascii="仿宋_GB2312" w:eastAsia="仿宋_GB2312"/>
          <w:sz w:val="32"/>
          <w:szCs w:val="32"/>
        </w:rPr>
        <w:t>（4）开展重点创新主体专项服务。项目期内服务不少于20家有海外专利布局需求的创新主体，帮助创新主体解决海外专利布局中存在的个性问题，形成典型案例不少于2个。</w:t>
      </w:r>
    </w:p>
    <w:p w14:paraId="175885CB">
      <w:pPr>
        <w:spacing w:line="600" w:lineRule="exact"/>
        <w:ind w:firstLine="640" w:firstLineChars="200"/>
        <w:rPr>
          <w:rFonts w:ascii="仿宋_GB2312" w:eastAsia="仿宋_GB2312"/>
          <w:sz w:val="32"/>
          <w:szCs w:val="32"/>
        </w:rPr>
      </w:pPr>
      <w:r>
        <w:rPr>
          <w:rFonts w:hint="eastAsia" w:ascii="仿宋_GB2312" w:eastAsia="仿宋_GB2312"/>
          <w:sz w:val="32"/>
          <w:szCs w:val="32"/>
        </w:rPr>
        <w:t>（5）每季度向项目主管处室报送项目实施成效、典型案例等信息或建议。</w:t>
      </w:r>
    </w:p>
    <w:p w14:paraId="3A117B89">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4BBD18DA">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择优确定1个资助项目，项目资助金额不超过30万元，项目周期1年。</w:t>
      </w:r>
    </w:p>
    <w:p w14:paraId="306F341F">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项目咨询人：王霞；咨询电话：23039857 </w:t>
      </w:r>
    </w:p>
    <w:p w14:paraId="352F4355">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（六）支持方向6：AAA知名商标品牌提升</w:t>
      </w:r>
    </w:p>
    <w:p w14:paraId="7136E4F3">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61FA2CA5">
      <w:pPr>
        <w:spacing w:line="600" w:lineRule="exact"/>
        <w:ind w:firstLine="640" w:firstLineChars="200"/>
        <w:rPr>
          <w:rFonts w:ascii="仿宋_GB2312" w:eastAsia="仿宋_GB2312"/>
          <w:sz w:val="32"/>
          <w:szCs w:val="32"/>
        </w:rPr>
      </w:pPr>
      <w:r>
        <w:rPr>
          <w:rFonts w:hint="eastAsia" w:ascii="仿宋_GB2312" w:eastAsia="仿宋_GB2312"/>
          <w:sz w:val="32"/>
          <w:szCs w:val="32"/>
        </w:rPr>
        <w:t>鼓励引导老字号、驰名商标或拥有较高知名度商标的企业积极申报AAA知名商标，培育具有市场竞争力、国际影响力的知名商标品牌，提升我市商标的市场竞争力。</w:t>
      </w:r>
    </w:p>
    <w:p w14:paraId="558FA535">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02C1D858">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申报单位应为拥有老字号、驰名商标或拥有较高知名度商标的企业。</w:t>
      </w:r>
    </w:p>
    <w:p w14:paraId="619565A2">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3B68E480">
      <w:pPr>
        <w:spacing w:line="600" w:lineRule="exact"/>
        <w:ind w:firstLine="640" w:firstLineChars="200"/>
        <w:rPr>
          <w:rFonts w:ascii="仿宋_GB2312" w:eastAsia="仿宋_GB2312"/>
          <w:sz w:val="32"/>
          <w:szCs w:val="32"/>
        </w:rPr>
      </w:pPr>
      <w:r>
        <w:rPr>
          <w:rFonts w:hint="eastAsia" w:ascii="仿宋_GB2312" w:eastAsia="仿宋_GB2312"/>
          <w:sz w:val="32"/>
          <w:szCs w:val="32"/>
        </w:rPr>
        <w:t>（1）编制企业商标品牌发展战略和商标管理制度，积极申报AAA知名商标。</w:t>
      </w:r>
    </w:p>
    <w:p w14:paraId="4212DB84">
      <w:pPr>
        <w:spacing w:line="600" w:lineRule="exact"/>
        <w:ind w:firstLine="640" w:firstLineChars="200"/>
        <w:rPr>
          <w:rFonts w:ascii="仿宋_GB2312" w:eastAsia="仿宋_GB2312"/>
          <w:sz w:val="32"/>
          <w:szCs w:val="32"/>
        </w:rPr>
      </w:pPr>
      <w:r>
        <w:rPr>
          <w:rFonts w:hint="eastAsia" w:ascii="仿宋_GB2312" w:eastAsia="仿宋_GB2312"/>
          <w:sz w:val="32"/>
          <w:szCs w:val="32"/>
        </w:rPr>
        <w:t>（2）提升产品市场竞争力，参评商标品牌指向的产品或服务近3年销售额逐年增加。</w:t>
      </w:r>
    </w:p>
    <w:p w14:paraId="687C28B3">
      <w:pPr>
        <w:spacing w:line="600" w:lineRule="exact"/>
        <w:ind w:firstLine="640" w:firstLineChars="200"/>
        <w:rPr>
          <w:rFonts w:ascii="仿宋_GB2312" w:eastAsia="仿宋_GB2312"/>
          <w:sz w:val="32"/>
          <w:szCs w:val="32"/>
        </w:rPr>
      </w:pPr>
      <w:r>
        <w:rPr>
          <w:rFonts w:hint="eastAsia" w:ascii="仿宋_GB2312" w:eastAsia="仿宋_GB2312"/>
          <w:sz w:val="32"/>
          <w:szCs w:val="32"/>
        </w:rPr>
        <w:t>（3）大力推进宣传推广活动，近3年广告投入逐年增加。</w:t>
      </w:r>
    </w:p>
    <w:p w14:paraId="7E323B62">
      <w:pPr>
        <w:spacing w:line="600" w:lineRule="exact"/>
        <w:ind w:firstLine="640" w:firstLineChars="200"/>
        <w:rPr>
          <w:rFonts w:ascii="仿宋_GB2312" w:eastAsia="仿宋_GB2312"/>
          <w:sz w:val="32"/>
          <w:szCs w:val="32"/>
        </w:rPr>
      </w:pPr>
      <w:r>
        <w:rPr>
          <w:rFonts w:hint="eastAsia" w:ascii="仿宋_GB2312" w:eastAsia="仿宋_GB2312"/>
          <w:sz w:val="32"/>
          <w:szCs w:val="32"/>
        </w:rPr>
        <w:t>（4）组织开展不少于1次知识产权保护培训工作。</w:t>
      </w:r>
    </w:p>
    <w:p w14:paraId="681D0F11">
      <w:pPr>
        <w:spacing w:line="600" w:lineRule="exact"/>
        <w:ind w:firstLine="640" w:firstLineChars="200"/>
        <w:rPr>
          <w:rFonts w:ascii="仿宋_GB2312" w:eastAsia="仿宋_GB2312"/>
          <w:sz w:val="32"/>
          <w:szCs w:val="32"/>
        </w:rPr>
      </w:pPr>
      <w:r>
        <w:rPr>
          <w:rFonts w:hint="eastAsia" w:ascii="仿宋_GB2312" w:eastAsia="仿宋_GB2312"/>
          <w:sz w:val="32"/>
          <w:szCs w:val="32"/>
        </w:rPr>
        <w:t>（5）每季度向项目主管处室报送项目实施成效、典型案例等信息或建议。</w:t>
      </w:r>
    </w:p>
    <w:p w14:paraId="3DD7F1BE">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2061D573">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择优确定不超过5个资助项目，每个项目资助金额不超过5万元，项目周期1年。</w:t>
      </w:r>
    </w:p>
    <w:p w14:paraId="644664EE">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项目咨询人：马博；咨询电话：84493629</w:t>
      </w:r>
    </w:p>
    <w:p w14:paraId="7B9AFB96">
      <w:pPr>
        <w:spacing w:line="360" w:lineRule="auto"/>
        <w:ind w:firstLine="643" w:firstLineChars="200"/>
        <w:rPr>
          <w:rFonts w:ascii="仿宋_GB2312" w:eastAsia="仿宋_GB2312"/>
          <w:b/>
          <w:bCs/>
          <w:sz w:val="32"/>
          <w:szCs w:val="32"/>
        </w:rPr>
      </w:pPr>
      <w:r>
        <w:rPr>
          <w:rFonts w:hint="eastAsia" w:ascii="仿宋_GB2312" w:eastAsia="仿宋_GB2312"/>
          <w:b/>
          <w:bCs/>
          <w:sz w:val="32"/>
          <w:szCs w:val="32"/>
        </w:rPr>
        <w:t>（七）支持方向7：地理标志用标主体培育</w:t>
      </w:r>
    </w:p>
    <w:p w14:paraId="03B2B6BC">
      <w:pPr>
        <w:spacing w:line="60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7A190CE8">
      <w:pPr>
        <w:spacing w:line="600" w:lineRule="exact"/>
        <w:ind w:firstLine="640" w:firstLineChars="200"/>
        <w:rPr>
          <w:rFonts w:ascii="仿宋_GB2312" w:eastAsia="仿宋_GB2312"/>
          <w:sz w:val="32"/>
          <w:szCs w:val="32"/>
        </w:rPr>
      </w:pPr>
      <w:r>
        <w:rPr>
          <w:rFonts w:hint="eastAsia" w:ascii="仿宋_GB2312" w:eastAsia="仿宋_GB2312"/>
          <w:sz w:val="32"/>
          <w:szCs w:val="32"/>
        </w:rPr>
        <w:t>积极推动地理标志产品向规模化、品牌化方向发展，提升地理标志品牌影响力和产品附加值，发展壮大地理标志特色产业，增加地理标志用标主体数量。</w:t>
      </w:r>
    </w:p>
    <w:p w14:paraId="2E110C7B">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5F18893F">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申报单位应为拥有地理标志的主体。</w:t>
      </w:r>
    </w:p>
    <w:p w14:paraId="4B56296D">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438017E2">
      <w:pPr>
        <w:spacing w:line="600" w:lineRule="exact"/>
        <w:ind w:firstLine="640" w:firstLineChars="200"/>
        <w:rPr>
          <w:rFonts w:ascii="仿宋_GB2312" w:eastAsia="仿宋_GB2312"/>
          <w:sz w:val="32"/>
          <w:szCs w:val="32"/>
        </w:rPr>
      </w:pPr>
      <w:r>
        <w:rPr>
          <w:rFonts w:hint="eastAsia" w:ascii="仿宋_GB2312" w:eastAsia="仿宋_GB2312"/>
          <w:sz w:val="32"/>
          <w:szCs w:val="32"/>
        </w:rPr>
        <w:t>（1）加强地理标志专用标志管理。严格授权专用标志的使用，加强对专用标志使用企业的质量管控，进一步规范专用标志的使用，强化合法使用人规范使用地理标志专用标志的意识，实现地理标志用标主体数量增长。</w:t>
      </w:r>
    </w:p>
    <w:p w14:paraId="2421186A">
      <w:pPr>
        <w:spacing w:line="600" w:lineRule="exact"/>
        <w:ind w:firstLine="640" w:firstLineChars="200"/>
        <w:rPr>
          <w:rFonts w:ascii="仿宋_GB2312" w:eastAsia="仿宋_GB2312"/>
          <w:sz w:val="32"/>
          <w:szCs w:val="32"/>
        </w:rPr>
      </w:pPr>
      <w:r>
        <w:rPr>
          <w:rFonts w:hint="eastAsia" w:ascii="仿宋_GB2312" w:eastAsia="仿宋_GB2312"/>
          <w:sz w:val="32"/>
          <w:szCs w:val="32"/>
        </w:rPr>
        <w:t>（2）加强质量管理体系建设。开展试验、示范、推广等工作，建立健全质量标准、技术标准、管理标准和生产标准。</w:t>
      </w:r>
    </w:p>
    <w:p w14:paraId="24B24FC9">
      <w:pPr>
        <w:spacing w:line="600" w:lineRule="exact"/>
        <w:ind w:firstLine="640" w:firstLineChars="200"/>
        <w:rPr>
          <w:rFonts w:ascii="仿宋_GB2312" w:eastAsia="仿宋_GB2312"/>
          <w:sz w:val="32"/>
          <w:szCs w:val="32"/>
        </w:rPr>
      </w:pPr>
      <w:r>
        <w:rPr>
          <w:rFonts w:hint="eastAsia" w:ascii="仿宋_GB2312" w:eastAsia="仿宋_GB2312"/>
          <w:sz w:val="32"/>
          <w:szCs w:val="32"/>
        </w:rPr>
        <w:t>（3）加强地理标志产品保护力度。严格规范使用地理标志产品专用标志，开展不少于1次的普查，及时发现违反专用标志使用管理规定的行为，加强地理标志产品保护。</w:t>
      </w:r>
    </w:p>
    <w:p w14:paraId="67AB8B1D">
      <w:pPr>
        <w:spacing w:line="600" w:lineRule="exact"/>
        <w:ind w:firstLine="640" w:firstLineChars="200"/>
        <w:rPr>
          <w:rFonts w:ascii="仿宋_GB2312" w:eastAsia="仿宋_GB2312"/>
          <w:sz w:val="32"/>
          <w:szCs w:val="32"/>
        </w:rPr>
      </w:pPr>
      <w:r>
        <w:rPr>
          <w:rFonts w:hint="eastAsia" w:ascii="仿宋_GB2312" w:eastAsia="仿宋_GB2312"/>
          <w:sz w:val="32"/>
          <w:szCs w:val="32"/>
        </w:rPr>
        <w:t>（4）加强地理标志产品保护和推广宣传培训。注重提升地理标志产品区域品牌推广力度，通过各类媒体扩大宣传广度；提升授权使用人和专用标志使用人的保护意识和能力，开展不少于1次培训活动。</w:t>
      </w:r>
    </w:p>
    <w:p w14:paraId="3B04C11C">
      <w:pPr>
        <w:spacing w:line="600" w:lineRule="exact"/>
        <w:ind w:firstLine="640" w:firstLineChars="200"/>
        <w:rPr>
          <w:rFonts w:ascii="仿宋_GB2312" w:eastAsia="仿宋_GB2312"/>
          <w:sz w:val="32"/>
          <w:szCs w:val="32"/>
        </w:rPr>
      </w:pPr>
      <w:r>
        <w:rPr>
          <w:rFonts w:hint="eastAsia" w:ascii="仿宋_GB2312" w:eastAsia="仿宋_GB2312"/>
          <w:sz w:val="32"/>
          <w:szCs w:val="32"/>
        </w:rPr>
        <w:t>（5）每季度向项目主管处室报送项目实施成效、典型案例等信息或建议。</w:t>
      </w:r>
    </w:p>
    <w:p w14:paraId="40712664">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4FDA8E4A">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择优确定不超过2个资助项目，每个项目资助金额不超过10万元，项目周期1年。</w:t>
      </w:r>
    </w:p>
    <w:p w14:paraId="0E917D0F">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项目咨询人：马博；咨询电话：84493629</w:t>
      </w:r>
    </w:p>
    <w:p w14:paraId="7E77698F">
      <w:pPr>
        <w:spacing w:line="600" w:lineRule="exact"/>
        <w:ind w:firstLine="640" w:firstLineChars="200"/>
        <w:outlineLvl w:val="1"/>
        <w:rPr>
          <w:rFonts w:eastAsia="黑体"/>
          <w:szCs w:val="21"/>
        </w:rPr>
      </w:pPr>
      <w:r>
        <w:rPr>
          <w:rFonts w:hint="eastAsia" w:ascii="黑体" w:hAnsi="黑体" w:eastAsia="黑体"/>
          <w:sz w:val="32"/>
          <w:szCs w:val="32"/>
        </w:rPr>
        <w:t>二、知识产权运营体系建设项目</w:t>
      </w:r>
    </w:p>
    <w:p w14:paraId="46198D3B">
      <w:pPr>
        <w:spacing w:line="600"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（一）支持方向1：高校院所重点专利产业化（面向高校）</w:t>
      </w:r>
    </w:p>
    <w:p w14:paraId="5D4BFB0E">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46EB3422">
      <w:pPr>
        <w:spacing w:line="600" w:lineRule="exact"/>
        <w:ind w:firstLine="640" w:firstLineChars="200"/>
        <w:rPr>
          <w:rFonts w:ascii="仿宋_GB2312" w:eastAsia="仿宋_GB2312"/>
          <w:sz w:val="32"/>
          <w:szCs w:val="32"/>
        </w:rPr>
      </w:pPr>
      <w:r>
        <w:rPr>
          <w:rFonts w:hint="eastAsia" w:ascii="仿宋_GB2312" w:eastAsia="仿宋_GB2312"/>
          <w:sz w:val="32"/>
          <w:szCs w:val="32"/>
        </w:rPr>
        <w:t>贯彻落实《国家知识产权局关于纵深推进专利转化运用专项行动加快形成长效机制的通知》要求，落实财政资助科研项目形成专利的声明制度，加快推动高校创新成果、专利技术向现实生产力转化，实现产业化，促进新质生产力发展。</w:t>
      </w:r>
    </w:p>
    <w:p w14:paraId="483BD358">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3A27AC63">
      <w:pPr>
        <w:spacing w:line="600" w:lineRule="exact"/>
        <w:ind w:firstLine="640" w:firstLineChars="200"/>
        <w:rPr>
          <w:rFonts w:ascii="仿宋_GB2312" w:eastAsia="仿宋_GB2312"/>
          <w:sz w:val="32"/>
          <w:szCs w:val="32"/>
        </w:rPr>
      </w:pPr>
      <w:r>
        <w:rPr>
          <w:rFonts w:hint="eastAsia" w:ascii="仿宋_GB2312" w:eastAsia="仿宋_GB2312"/>
          <w:sz w:val="32"/>
          <w:szCs w:val="32"/>
        </w:rPr>
        <w:t>申报高校应重视专利转化工作，具备完善的知识产权转化运用管理制度，配有专职从事专利转化工作的人员，有效专利总量超过500件。</w:t>
      </w:r>
    </w:p>
    <w:p w14:paraId="1F0D2E81">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57BDCADA">
      <w:pPr>
        <w:spacing w:line="600" w:lineRule="exact"/>
        <w:ind w:firstLine="640" w:firstLineChars="200"/>
        <w:rPr>
          <w:rFonts w:ascii="仿宋_GB2312" w:eastAsia="仿宋_GB2312"/>
          <w:sz w:val="32"/>
          <w:szCs w:val="32"/>
        </w:rPr>
      </w:pPr>
      <w:r>
        <w:rPr>
          <w:rFonts w:hint="eastAsia" w:ascii="仿宋_GB2312" w:eastAsia="仿宋_GB2312"/>
          <w:sz w:val="32"/>
          <w:szCs w:val="32"/>
        </w:rPr>
        <w:t>（1）制定重点专利产业化专项实施方案，开展专利申请前评估，聚焦重点产业领域，筛选不少于100件具有市场前景的专利纳入产业化重点推进清单。</w:t>
      </w:r>
    </w:p>
    <w:p w14:paraId="271BEBAF">
      <w:pPr>
        <w:spacing w:line="600" w:lineRule="exact"/>
        <w:ind w:firstLine="640" w:firstLineChars="200"/>
        <w:rPr>
          <w:rFonts w:ascii="仿宋_GB2312" w:eastAsia="仿宋_GB2312"/>
          <w:sz w:val="32"/>
          <w:szCs w:val="32"/>
        </w:rPr>
      </w:pPr>
      <w:r>
        <w:rPr>
          <w:rFonts w:hint="eastAsia" w:ascii="仿宋_GB2312" w:eastAsia="仿宋_GB2312"/>
          <w:sz w:val="32"/>
          <w:szCs w:val="32"/>
        </w:rPr>
        <w:t>（2）开展专利转化专题培训不少于1次。组织不少于2场路演、产业化对接等活动。</w:t>
      </w:r>
    </w:p>
    <w:p w14:paraId="752D4DEC">
      <w:pPr>
        <w:spacing w:line="600" w:lineRule="exact"/>
        <w:ind w:firstLine="640" w:firstLineChars="200"/>
        <w:rPr>
          <w:rFonts w:ascii="仿宋_GB2312" w:eastAsia="仿宋_GB2312"/>
          <w:sz w:val="32"/>
          <w:szCs w:val="32"/>
        </w:rPr>
      </w:pPr>
      <w:r>
        <w:rPr>
          <w:rFonts w:hint="eastAsia" w:ascii="仿宋_GB2312" w:eastAsia="仿宋_GB2312"/>
          <w:sz w:val="32"/>
          <w:szCs w:val="32"/>
        </w:rPr>
        <w:t>（3）项目期内专利开放许可声明不少于70件，通过转让、许可、开放许可、作价入股等方式转化专利数量不少于80件。</w:t>
      </w:r>
    </w:p>
    <w:p w14:paraId="66133D29">
      <w:pPr>
        <w:spacing w:line="600" w:lineRule="exact"/>
        <w:ind w:firstLine="640" w:firstLineChars="200"/>
        <w:rPr>
          <w:rFonts w:ascii="仿宋_GB2312" w:eastAsia="仿宋_GB2312"/>
          <w:sz w:val="32"/>
          <w:szCs w:val="32"/>
        </w:rPr>
      </w:pPr>
      <w:r>
        <w:rPr>
          <w:rFonts w:hint="eastAsia" w:ascii="仿宋_GB2312" w:eastAsia="仿宋_GB2312"/>
          <w:sz w:val="32"/>
          <w:szCs w:val="32"/>
        </w:rPr>
        <w:t>（4）发掘本单位专利产业化工作，形成专利产业化典型案例不少于2个。按季度向项目主管处室报送项目实施成效。</w:t>
      </w:r>
    </w:p>
    <w:p w14:paraId="0B1E336D">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20A794CC">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择优确定不超过5个资助项目，每个项目资助金额不超过10万元，项目周期1年。</w:t>
      </w:r>
    </w:p>
    <w:p w14:paraId="5804126D">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项目咨询人：张相凯；咨询电话：23039887</w:t>
      </w:r>
    </w:p>
    <w:p w14:paraId="2F43C1E8">
      <w:pPr>
        <w:spacing w:line="600"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（二）支持方向2：高校院所重点专利产业化（面向科研院所）</w:t>
      </w:r>
    </w:p>
    <w:p w14:paraId="5572A0BF">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298D9375">
      <w:pPr>
        <w:spacing w:line="600" w:lineRule="exact"/>
        <w:ind w:firstLine="640" w:firstLineChars="200"/>
        <w:rPr>
          <w:rFonts w:ascii="仿宋_GB2312" w:eastAsia="仿宋_GB2312"/>
          <w:sz w:val="32"/>
          <w:szCs w:val="32"/>
        </w:rPr>
      </w:pPr>
      <w:r>
        <w:rPr>
          <w:rFonts w:hint="eastAsia" w:ascii="仿宋_GB2312" w:eastAsia="仿宋_GB2312"/>
          <w:sz w:val="32"/>
          <w:szCs w:val="32"/>
        </w:rPr>
        <w:t>贯彻落实《国家知识产权局关于纵深推进专利转化运用专项行动加快形成长效机制的通知》要求，落实财政资助科研项目形成专利的声明制度，加快推动全市科研院所创新成果、专利技术向现实生产力转化，实现产业化，促进新质生产力发展。</w:t>
      </w:r>
    </w:p>
    <w:p w14:paraId="375EC1B3">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4939D3D5">
      <w:pPr>
        <w:spacing w:line="600" w:lineRule="exact"/>
        <w:ind w:firstLine="640" w:firstLineChars="200"/>
        <w:rPr>
          <w:rFonts w:ascii="仿宋_GB2312" w:eastAsia="仿宋_GB2312"/>
          <w:sz w:val="32"/>
          <w:szCs w:val="32"/>
        </w:rPr>
      </w:pPr>
      <w:r>
        <w:rPr>
          <w:rFonts w:hint="eastAsia" w:ascii="仿宋_GB2312" w:eastAsia="仿宋_GB2312"/>
          <w:sz w:val="32"/>
          <w:szCs w:val="32"/>
        </w:rPr>
        <w:t>申报科研院所应具备完善的知识产权转化运用管理服务制度，配有专职从事专利转化运用工作的人员，熟悉我市科研院所专利转化工作情况，能有效对接在津科研院所并统计专利转化数据。</w:t>
      </w:r>
    </w:p>
    <w:p w14:paraId="4A806A1F">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3B73F5A3">
      <w:pPr>
        <w:spacing w:line="600" w:lineRule="exact"/>
        <w:ind w:firstLine="640" w:firstLineChars="200"/>
        <w:rPr>
          <w:rFonts w:ascii="仿宋_GB2312" w:eastAsia="仿宋_GB2312"/>
          <w:sz w:val="32"/>
          <w:szCs w:val="32"/>
        </w:rPr>
      </w:pPr>
      <w:r>
        <w:rPr>
          <w:rFonts w:hint="eastAsia" w:ascii="仿宋_GB2312" w:eastAsia="仿宋_GB2312"/>
          <w:sz w:val="32"/>
          <w:szCs w:val="32"/>
        </w:rPr>
        <w:t>（1）推动科研院所完成2025年新增专利盘点工作，充实专利转化资源数据库。完成科研院所专利转化相关情况摸底统计工作。</w:t>
      </w:r>
    </w:p>
    <w:p w14:paraId="6AA347E7">
      <w:pPr>
        <w:spacing w:line="600" w:lineRule="exact"/>
        <w:ind w:firstLine="640" w:firstLineChars="200"/>
        <w:rPr>
          <w:rFonts w:ascii="仿宋_GB2312" w:eastAsia="仿宋_GB2312"/>
          <w:sz w:val="32"/>
          <w:szCs w:val="32"/>
        </w:rPr>
      </w:pPr>
      <w:r>
        <w:rPr>
          <w:rFonts w:hint="eastAsia" w:ascii="仿宋_GB2312" w:eastAsia="仿宋_GB2312"/>
          <w:sz w:val="32"/>
          <w:szCs w:val="32"/>
        </w:rPr>
        <w:t>（2）系统采集在津高校院所专利及转化运用数据，围绕专利、发明专利、高价值专利及转化运用情况等，开展量化分析与比较研究，并形成分析报告，服务科研院所专利转化。</w:t>
      </w:r>
    </w:p>
    <w:p w14:paraId="150A5305">
      <w:pPr>
        <w:spacing w:line="600" w:lineRule="exact"/>
        <w:ind w:firstLine="640" w:firstLineChars="200"/>
        <w:rPr>
          <w:rFonts w:ascii="仿宋_GB2312" w:eastAsia="仿宋_GB2312"/>
          <w:sz w:val="32"/>
          <w:szCs w:val="32"/>
        </w:rPr>
      </w:pPr>
      <w:r>
        <w:rPr>
          <w:rFonts w:hint="eastAsia" w:ascii="仿宋_GB2312" w:eastAsia="仿宋_GB2312"/>
          <w:sz w:val="32"/>
          <w:szCs w:val="32"/>
        </w:rPr>
        <w:t>（3）开展专利转化专题培训不少于1次。组织不少于2场路演、产业化对接等活动。</w:t>
      </w:r>
    </w:p>
    <w:p w14:paraId="481FA216">
      <w:pPr>
        <w:spacing w:line="600" w:lineRule="exact"/>
        <w:ind w:firstLine="640" w:firstLineChars="200"/>
        <w:rPr>
          <w:rFonts w:ascii="仿宋_GB2312" w:eastAsia="仿宋_GB2312"/>
          <w:sz w:val="32"/>
          <w:szCs w:val="32"/>
        </w:rPr>
      </w:pPr>
      <w:r>
        <w:rPr>
          <w:rFonts w:hint="eastAsia" w:ascii="仿宋_GB2312" w:eastAsia="仿宋_GB2312"/>
          <w:sz w:val="32"/>
          <w:szCs w:val="32"/>
        </w:rPr>
        <w:t>（4）项目期内推动科研院所通过转让、许可（含开放许可）、作价入股、自行产业化等方式转化专利数量不少于50件。</w:t>
      </w:r>
    </w:p>
    <w:p w14:paraId="0099F379">
      <w:pPr>
        <w:spacing w:line="600" w:lineRule="exact"/>
        <w:ind w:firstLine="640" w:firstLineChars="200"/>
        <w:rPr>
          <w:rFonts w:ascii="仿宋_GB2312" w:eastAsia="仿宋_GB2312"/>
          <w:sz w:val="32"/>
          <w:szCs w:val="32"/>
        </w:rPr>
      </w:pPr>
      <w:r>
        <w:rPr>
          <w:rFonts w:hint="eastAsia" w:ascii="仿宋_GB2312" w:eastAsia="仿宋_GB2312"/>
          <w:sz w:val="32"/>
          <w:szCs w:val="32"/>
        </w:rPr>
        <w:t>（5）发掘科研院所专利产业化工作，形成专利产业化典型案例不少于3个。按季度向项目主管处室报送项目实施成效。</w:t>
      </w:r>
    </w:p>
    <w:p w14:paraId="2D1E1564">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76276C27">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择优确定不超过2个资助项目，每个项目资助金额不超过10万元，项目周期1年。</w:t>
      </w:r>
    </w:p>
    <w:p w14:paraId="616CFCCE">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项目咨询人：张相凯；咨询电话：23039887 </w:t>
      </w:r>
    </w:p>
    <w:p w14:paraId="2D2B4AF8">
      <w:pPr>
        <w:spacing w:line="600"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（三）支持方向3：专利转化运用协同</w:t>
      </w:r>
    </w:p>
    <w:p w14:paraId="70E7E7A7">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0BAEF086">
      <w:pPr>
        <w:spacing w:line="600" w:lineRule="exact"/>
        <w:ind w:firstLine="640" w:firstLineChars="200"/>
        <w:rPr>
          <w:rFonts w:ascii="仿宋_GB2312" w:eastAsia="仿宋_GB2312"/>
          <w:sz w:val="32"/>
          <w:szCs w:val="32"/>
        </w:rPr>
      </w:pPr>
      <w:r>
        <w:rPr>
          <w:rFonts w:hint="eastAsia" w:ascii="仿宋_GB2312" w:eastAsia="仿宋_GB2312"/>
          <w:sz w:val="32"/>
          <w:szCs w:val="32"/>
        </w:rPr>
        <w:t>贯彻落实国家知识产权局开展知识产权服务业区域协作帮扶工作要求，推进津陇跨区域专利转化对接和服务协同，服务产业高质量发展。</w:t>
      </w:r>
    </w:p>
    <w:p w14:paraId="514E0C16">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3A3285CE">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申报单位应具备固定的经营场所以及开展知识产权运营服务必须的软硬件设施和网络平台，具备完善的知识产权转化运用管理制度，拥有跨区域举办对接活动相关实践经验。</w:t>
      </w:r>
    </w:p>
    <w:p w14:paraId="3F43F332">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2CD5AA52">
      <w:pPr>
        <w:spacing w:line="600" w:lineRule="exact"/>
        <w:ind w:firstLine="640" w:firstLineChars="200"/>
        <w:rPr>
          <w:rFonts w:ascii="仿宋_GB2312" w:eastAsia="仿宋_GB2312"/>
          <w:sz w:val="32"/>
          <w:szCs w:val="32"/>
        </w:rPr>
      </w:pPr>
      <w:r>
        <w:rPr>
          <w:rFonts w:hint="eastAsia" w:ascii="仿宋_GB2312" w:eastAsia="仿宋_GB2312"/>
          <w:sz w:val="32"/>
          <w:szCs w:val="32"/>
        </w:rPr>
        <w:t>（1）组建天津专业经纪人服务团队到甘肃开展交流对接1次，促进津陇两地专利技术协同转化。</w:t>
      </w:r>
    </w:p>
    <w:p w14:paraId="1BF3C782">
      <w:pPr>
        <w:spacing w:line="600" w:lineRule="exact"/>
        <w:ind w:firstLine="640" w:firstLineChars="200"/>
        <w:rPr>
          <w:rFonts w:ascii="仿宋_GB2312" w:eastAsia="仿宋_GB2312"/>
          <w:sz w:val="32"/>
          <w:szCs w:val="32"/>
        </w:rPr>
      </w:pPr>
      <w:r>
        <w:rPr>
          <w:rFonts w:hint="eastAsia" w:ascii="仿宋_GB2312" w:eastAsia="仿宋_GB2312"/>
          <w:sz w:val="32"/>
          <w:szCs w:val="32"/>
        </w:rPr>
        <w:t>（2）在网络平台设立津陇知识产权转化服务专区，实现两地专利转化信息、产业需求信息互联共享。</w:t>
      </w:r>
    </w:p>
    <w:p w14:paraId="72399725">
      <w:pPr>
        <w:spacing w:line="600" w:lineRule="exact"/>
        <w:ind w:firstLine="640" w:firstLineChars="200"/>
        <w:rPr>
          <w:rFonts w:ascii="仿宋_GB2312" w:eastAsia="仿宋_GB2312"/>
          <w:sz w:val="32"/>
          <w:szCs w:val="32"/>
        </w:rPr>
      </w:pPr>
      <w:r>
        <w:rPr>
          <w:rFonts w:hint="eastAsia" w:ascii="仿宋_GB2312" w:eastAsia="仿宋_GB2312"/>
          <w:sz w:val="32"/>
          <w:szCs w:val="32"/>
        </w:rPr>
        <w:t>（3）组织津陇两地知识产权转化路演活动1场，促进两地创新主体技术交流和产业融合。</w:t>
      </w:r>
    </w:p>
    <w:p w14:paraId="26686D3D">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0F338E50">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择优确定1个资助项目，项目资助金额不超过14万元，项目周期1年。</w:t>
      </w:r>
    </w:p>
    <w:p w14:paraId="47E73BAC">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项目咨询人：张相凯；咨询电话：23039887</w:t>
      </w:r>
    </w:p>
    <w:p w14:paraId="0CE9208F">
      <w:pPr>
        <w:spacing w:line="600" w:lineRule="exact"/>
        <w:ind w:firstLine="640" w:firstLineChars="200"/>
        <w:rPr>
          <w:rFonts w:hint="eastAsia" w:ascii="黑体" w:hAnsi="黑体" w:eastAsia="黑体"/>
          <w:szCs w:val="21"/>
        </w:rPr>
      </w:pPr>
      <w:r>
        <w:rPr>
          <w:rFonts w:hint="eastAsia" w:ascii="黑体" w:eastAsia="黑体"/>
          <w:sz w:val="32"/>
          <w:szCs w:val="32"/>
        </w:rPr>
        <w:t>三、知识产权保护体系建设项目</w:t>
      </w:r>
    </w:p>
    <w:p w14:paraId="6692D714">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（一）支持方向1：重点区域专利行政保护试点</w:t>
      </w:r>
    </w:p>
    <w:p w14:paraId="2A51FEE5">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26AC6EDC">
      <w:pPr>
        <w:spacing w:line="600" w:lineRule="exact"/>
        <w:ind w:firstLine="640" w:firstLineChars="200"/>
        <w:rPr>
          <w:rFonts w:ascii="仿宋_GB2312" w:eastAsia="仿宋_GB2312"/>
          <w:sz w:val="32"/>
          <w:szCs w:val="32"/>
        </w:rPr>
      </w:pPr>
      <w:r>
        <w:rPr>
          <w:rFonts w:hint="eastAsia" w:ascii="仿宋_GB2312" w:eastAsia="仿宋_GB2312"/>
          <w:sz w:val="32"/>
          <w:szCs w:val="32"/>
        </w:rPr>
        <w:t>落实市委、市政府强化知识产权保护工作决策部署，鼓励知识产权保护先进区域进一步提升专利纠纷调解和裁决工作能力。</w:t>
      </w:r>
    </w:p>
    <w:p w14:paraId="4025B554">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01AA3554">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申报单位应具备知识产权保护专业服务经验，熟悉知识产权保护相关业务，具有专业人才，并经区域知识产权管理部门同意，能为专利行政保护试点区提供专业服务支撑,完成专利行政保护试点任务。</w:t>
      </w:r>
    </w:p>
    <w:p w14:paraId="79CC9ADF">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395E6888">
      <w:pPr>
        <w:spacing w:line="600" w:lineRule="exact"/>
        <w:ind w:firstLine="640" w:firstLineChars="200"/>
        <w:rPr>
          <w:rFonts w:ascii="仿宋_GB2312" w:eastAsia="仿宋_GB2312"/>
          <w:sz w:val="32"/>
          <w:szCs w:val="32"/>
        </w:rPr>
      </w:pPr>
      <w:r>
        <w:rPr>
          <w:rFonts w:hint="eastAsia" w:ascii="仿宋_GB2312" w:eastAsia="仿宋_GB2312"/>
          <w:sz w:val="32"/>
          <w:szCs w:val="32"/>
        </w:rPr>
        <w:t>（1）完善区域专利行政保护体系。为试点区建立知识产权主管科室牵头、执法大队负责、各市场监管所支撑的专利工作机制提供服务，每年对试点区执法人员举办不少于1期专利行政执法业务培训。</w:t>
      </w:r>
    </w:p>
    <w:p w14:paraId="75DCF0A9">
      <w:pPr>
        <w:spacing w:line="600" w:lineRule="exact"/>
        <w:ind w:firstLine="640" w:firstLineChars="200"/>
        <w:rPr>
          <w:rFonts w:ascii="仿宋_GB2312" w:eastAsia="仿宋_GB2312"/>
          <w:sz w:val="32"/>
          <w:szCs w:val="32"/>
        </w:rPr>
      </w:pPr>
      <w:r>
        <w:rPr>
          <w:rFonts w:hint="eastAsia" w:ascii="仿宋_GB2312" w:eastAsia="仿宋_GB2312"/>
          <w:sz w:val="32"/>
          <w:szCs w:val="32"/>
        </w:rPr>
        <w:t>（2）提供专利纠纷调解裁决技术支持。试点期内，协助各区办理专利纠纷行政裁决案件和专利纠纷调解数量不少于5件，并按相关规定第一时间准确完成系统报送。</w:t>
      </w:r>
    </w:p>
    <w:p w14:paraId="380979A2">
      <w:pPr>
        <w:spacing w:line="600" w:lineRule="exact"/>
        <w:ind w:firstLine="640" w:firstLineChars="200"/>
        <w:rPr>
          <w:rFonts w:ascii="仿宋_GB2312" w:eastAsia="仿宋_GB2312"/>
          <w:sz w:val="32"/>
          <w:szCs w:val="32"/>
        </w:rPr>
      </w:pPr>
      <w:r>
        <w:rPr>
          <w:rFonts w:hint="eastAsia" w:ascii="仿宋_GB2312" w:eastAsia="仿宋_GB2312"/>
          <w:sz w:val="32"/>
          <w:szCs w:val="32"/>
        </w:rPr>
        <w:t>（3）加强区域知识产权保护宣传工作。拓展知识产保护宣传覆盖，帮助各区在区域、重点园区（行业）等产业集聚地开展知识产权保护宣传活动不少于1次；通过各类渠道（包括但不限于传统媒体、官网新闻等）发布知识产权保护宣传内容不少于5篇。</w:t>
      </w:r>
    </w:p>
    <w:p w14:paraId="5E8C079A">
      <w:pPr>
        <w:spacing w:line="600" w:lineRule="exact"/>
        <w:ind w:firstLine="640" w:firstLineChars="200"/>
        <w:rPr>
          <w:rFonts w:ascii="仿宋_GB2312" w:eastAsia="仿宋_GB2312"/>
          <w:sz w:val="32"/>
          <w:szCs w:val="32"/>
        </w:rPr>
      </w:pPr>
      <w:r>
        <w:rPr>
          <w:rFonts w:hint="eastAsia" w:ascii="仿宋_GB2312" w:eastAsia="仿宋_GB2312"/>
          <w:sz w:val="32"/>
          <w:szCs w:val="32"/>
        </w:rPr>
        <w:t>（4）开展知识产权保护宣传和典型案件宣传工作。借助“3.15”、“4.26”、“中秋国庆”、“元旦春节”等重大活动，通过发放宣传资料、开展公益宣讲等形式，开展知识产权保护宣传。挖掘区域专利保护典型案例不少于2个。</w:t>
      </w:r>
    </w:p>
    <w:p w14:paraId="3D0C9149">
      <w:pPr>
        <w:spacing w:line="600" w:lineRule="exact"/>
        <w:ind w:firstLine="640" w:firstLineChars="200"/>
        <w:rPr>
          <w:rFonts w:ascii="仿宋_GB2312" w:eastAsia="仿宋_GB2312"/>
          <w:sz w:val="32"/>
          <w:szCs w:val="32"/>
        </w:rPr>
      </w:pPr>
      <w:r>
        <w:rPr>
          <w:rFonts w:hint="eastAsia" w:ascii="仿宋_GB2312" w:eastAsia="仿宋_GB2312"/>
          <w:sz w:val="32"/>
          <w:szCs w:val="32"/>
        </w:rPr>
        <w:t>（5）协助各区开展不少于1项知识产权保护特色工作。</w:t>
      </w:r>
    </w:p>
    <w:p w14:paraId="262E7E67">
      <w:pPr>
        <w:spacing w:line="600" w:lineRule="exact"/>
        <w:ind w:firstLine="640" w:firstLineChars="200"/>
        <w:rPr>
          <w:rFonts w:ascii="仿宋_GB2312" w:eastAsia="仿宋_GB2312"/>
          <w:sz w:val="32"/>
          <w:szCs w:val="32"/>
        </w:rPr>
      </w:pPr>
      <w:r>
        <w:rPr>
          <w:rFonts w:hint="eastAsia" w:ascii="仿宋_GB2312" w:eastAsia="仿宋_GB2312"/>
          <w:sz w:val="32"/>
          <w:szCs w:val="32"/>
        </w:rPr>
        <w:t>（6）每季度向项目主管处室报送项目实施成效、典型案例等信息或建议。</w:t>
      </w:r>
    </w:p>
    <w:p w14:paraId="60B409EF">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75EE11D4">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择优确定不超过10个资助项目，每个项目资助金额不超过5万元，项目周期1年。</w:t>
      </w:r>
    </w:p>
    <w:p w14:paraId="492EE375">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项目咨询人：张剑光；咨询电话：23039863  </w:t>
      </w:r>
    </w:p>
    <w:p w14:paraId="26D8D9A5">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（二）支持方向2：企业海外纠纷应对指导</w:t>
      </w:r>
    </w:p>
    <w:p w14:paraId="6822561F">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084ED289">
      <w:pPr>
        <w:spacing w:line="600" w:lineRule="exact"/>
        <w:ind w:firstLine="640" w:firstLineChars="200"/>
        <w:rPr>
          <w:rFonts w:ascii="仿宋_GB2312" w:eastAsia="仿宋_GB2312"/>
          <w:sz w:val="32"/>
          <w:szCs w:val="32"/>
        </w:rPr>
      </w:pPr>
      <w:r>
        <w:rPr>
          <w:rFonts w:hint="eastAsia" w:ascii="仿宋_GB2312" w:eastAsia="仿宋_GB2312"/>
          <w:sz w:val="32"/>
          <w:szCs w:val="32"/>
        </w:rPr>
        <w:t>支持国家级海外知识产权纠纷应对指导中心地方工作平台建设，加强京津冀海外知识产权保护协作；在我市范围内建立海外维权共享机制，强化海外知识产权维权援助服务供给。</w:t>
      </w:r>
    </w:p>
    <w:p w14:paraId="52EF7B21">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48538504">
      <w:pPr>
        <w:spacing w:line="600" w:lineRule="exact"/>
        <w:ind w:firstLine="640" w:firstLineChars="200"/>
        <w:rPr>
          <w:rFonts w:ascii="仿宋_GB2312" w:eastAsia="仿宋_GB2312"/>
          <w:sz w:val="32"/>
          <w:szCs w:val="32"/>
        </w:rPr>
      </w:pPr>
      <w:r>
        <w:rPr>
          <w:rFonts w:hint="eastAsia" w:ascii="仿宋_GB2312" w:eastAsia="仿宋_GB2312"/>
          <w:sz w:val="32"/>
          <w:szCs w:val="32"/>
        </w:rPr>
        <w:t>申报主体应为国家知识产权局批复建设的海外知识产权纠纷指导应对中心地方工作平台，拥有海外维权专业团队，具有海外知识产权保护专家及海外合作机构资源，具备协助企业处理海外知识产权纠纷的能力和良好工作经验。</w:t>
      </w:r>
    </w:p>
    <w:p w14:paraId="4722D719">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1EA2C276">
      <w:pPr>
        <w:spacing w:line="600" w:lineRule="exact"/>
        <w:ind w:firstLine="640" w:firstLineChars="200"/>
        <w:rPr>
          <w:rFonts w:ascii="仿宋_GB2312" w:eastAsia="仿宋_GB2312"/>
          <w:sz w:val="32"/>
          <w:szCs w:val="32"/>
        </w:rPr>
      </w:pPr>
      <w:r>
        <w:rPr>
          <w:rFonts w:hint="eastAsia" w:ascii="仿宋_GB2312" w:eastAsia="仿宋_GB2312"/>
          <w:sz w:val="32"/>
          <w:szCs w:val="32"/>
        </w:rPr>
        <w:t>（1）完善海外知识产权纠纷预警监测机制，面向京津冀“走出去”企业开展海外纠纷预警监测，年度监测线索不低于80条。</w:t>
      </w:r>
    </w:p>
    <w:p w14:paraId="650ADD51">
      <w:pPr>
        <w:spacing w:line="600" w:lineRule="exact"/>
        <w:ind w:firstLine="640" w:firstLineChars="200"/>
        <w:rPr>
          <w:rFonts w:ascii="仿宋_GB2312" w:eastAsia="仿宋_GB2312"/>
          <w:sz w:val="32"/>
          <w:szCs w:val="32"/>
        </w:rPr>
      </w:pPr>
      <w:r>
        <w:rPr>
          <w:rFonts w:hint="eastAsia" w:ascii="仿宋_GB2312" w:eastAsia="仿宋_GB2312"/>
          <w:sz w:val="32"/>
          <w:szCs w:val="32"/>
        </w:rPr>
        <w:t>（2）推进海外纠纷应对指导中心地方工作平台建设，对“走出去”企业海外知识产权纠纷开展应对指导，形成典型案例不少于2个。</w:t>
      </w:r>
    </w:p>
    <w:p w14:paraId="6CD94BF5">
      <w:pPr>
        <w:spacing w:line="600" w:lineRule="exact"/>
        <w:ind w:firstLine="640" w:firstLineChars="200"/>
        <w:rPr>
          <w:rFonts w:ascii="仿宋_GB2312" w:eastAsia="仿宋_GB2312"/>
          <w:sz w:val="32"/>
          <w:szCs w:val="32"/>
        </w:rPr>
      </w:pPr>
      <w:r>
        <w:rPr>
          <w:rFonts w:hint="eastAsia" w:ascii="仿宋_GB2312" w:eastAsia="仿宋_GB2312"/>
          <w:sz w:val="32"/>
          <w:szCs w:val="32"/>
        </w:rPr>
        <w:t>（3）更新、印制不少于20个国家的《海外知识产权国别环境指南》。</w:t>
      </w:r>
    </w:p>
    <w:p w14:paraId="6743E68B">
      <w:pPr>
        <w:spacing w:line="600" w:lineRule="exact"/>
        <w:ind w:firstLine="640" w:firstLineChars="200"/>
        <w:rPr>
          <w:rFonts w:ascii="仿宋_GB2312" w:eastAsia="仿宋_GB2312"/>
          <w:sz w:val="32"/>
          <w:szCs w:val="32"/>
        </w:rPr>
      </w:pPr>
      <w:r>
        <w:rPr>
          <w:rFonts w:hint="eastAsia" w:ascii="仿宋_GB2312" w:eastAsia="仿宋_GB2312"/>
          <w:sz w:val="32"/>
          <w:szCs w:val="32"/>
        </w:rPr>
        <w:t>（4）组织海外知识产权风险防控培训不少于6场，提升企业海外维权意识。</w:t>
      </w:r>
    </w:p>
    <w:p w14:paraId="32F05C1B">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4A0A4A14">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择优确定1个资助项目，项目资助金额不超过20万元，项目周期1年。</w:t>
      </w:r>
    </w:p>
    <w:p w14:paraId="07C8CC0B">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项目咨询人：孙燕东；咨询电话：23039863</w:t>
      </w:r>
    </w:p>
    <w:p w14:paraId="3D486F41">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（三）支持方向3：海外知识产权公益性维权援助</w:t>
      </w:r>
    </w:p>
    <w:p w14:paraId="1EE0DF5E">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33E5C8F4">
      <w:pPr>
        <w:spacing w:line="600" w:lineRule="exact"/>
        <w:ind w:firstLine="640" w:firstLineChars="200"/>
        <w:rPr>
          <w:rFonts w:ascii="仿宋_GB2312" w:eastAsia="仿宋_GB2312"/>
          <w:sz w:val="32"/>
          <w:szCs w:val="32"/>
        </w:rPr>
      </w:pPr>
      <w:r>
        <w:rPr>
          <w:rFonts w:hint="eastAsia" w:ascii="仿宋_GB2312" w:eastAsia="仿宋_GB2312"/>
          <w:sz w:val="32"/>
          <w:szCs w:val="32"/>
        </w:rPr>
        <w:t>围绕涉外领域企业知识产权保护问题，帮助企业应对涉外知识产权纠纷，开展海外维权援助服务，指导企业积极有效防范知识产权法律风险，提升国际化经营能力。</w:t>
      </w:r>
    </w:p>
    <w:p w14:paraId="115B0E23">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6D3A11DB">
      <w:pPr>
        <w:spacing w:line="600" w:lineRule="exact"/>
        <w:ind w:firstLine="640" w:firstLineChars="200"/>
        <w:rPr>
          <w:rFonts w:ascii="仿宋_GB2312" w:eastAsia="仿宋_GB2312"/>
          <w:sz w:val="32"/>
          <w:szCs w:val="32"/>
        </w:rPr>
      </w:pPr>
      <w:r>
        <w:rPr>
          <w:rFonts w:hint="eastAsia" w:ascii="仿宋_GB2312" w:eastAsia="仿宋_GB2312"/>
          <w:sz w:val="32"/>
          <w:szCs w:val="32"/>
        </w:rPr>
        <w:t>（1）拥有专业海外维权专业团队，已经建立知识产权工作组，能够提供知识产权法律专业咨询，指导企业处理知识产权纠纷，管理知识产权案件流程，研究梳理知识产权纠纷调解典型案例等，具有丰富的知识产权工作经验。</w:t>
      </w:r>
    </w:p>
    <w:p w14:paraId="67CBE0CA">
      <w:pPr>
        <w:spacing w:line="600" w:lineRule="exact"/>
        <w:ind w:firstLine="640" w:firstLineChars="200"/>
        <w:rPr>
          <w:rFonts w:ascii="仿宋_GB2312" w:eastAsia="仿宋_GB2312"/>
          <w:sz w:val="32"/>
          <w:szCs w:val="32"/>
        </w:rPr>
      </w:pPr>
      <w:r>
        <w:rPr>
          <w:rFonts w:hint="eastAsia" w:ascii="仿宋_GB2312" w:eastAsia="仿宋_GB2312"/>
          <w:sz w:val="32"/>
          <w:szCs w:val="32"/>
        </w:rPr>
        <w:t>（2）已建立海外知识产权纠纷应对和维权援助机制，服务运行成效良好。</w:t>
      </w:r>
    </w:p>
    <w:p w14:paraId="137B8452">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048FF697">
      <w:pPr>
        <w:spacing w:line="600" w:lineRule="exact"/>
        <w:ind w:firstLine="640" w:firstLineChars="200"/>
        <w:rPr>
          <w:rFonts w:ascii="仿宋_GB2312" w:eastAsia="仿宋_GB2312"/>
          <w:sz w:val="32"/>
          <w:szCs w:val="32"/>
        </w:rPr>
      </w:pPr>
      <w:r>
        <w:rPr>
          <w:rFonts w:hint="eastAsia" w:ascii="仿宋_GB2312" w:eastAsia="仿宋_GB2312"/>
          <w:sz w:val="32"/>
          <w:szCs w:val="32"/>
        </w:rPr>
        <w:t>（1）开展“一带一路”沿线国家知识产权法律翻译宣讲，为涉外企业开展专题培训，计划开展1期，培训人数不少于50人</w:t>
      </w:r>
      <w:r>
        <w:rPr>
          <w:rFonts w:ascii="仿宋_GB2312" w:eastAsia="仿宋_GB2312"/>
          <w:sz w:val="32"/>
          <w:szCs w:val="32"/>
        </w:rPr>
        <w:t>。</w:t>
      </w:r>
    </w:p>
    <w:p w14:paraId="21F3A632">
      <w:pPr>
        <w:spacing w:line="600" w:lineRule="exact"/>
        <w:ind w:firstLine="640" w:firstLineChars="200"/>
        <w:rPr>
          <w:rFonts w:ascii="仿宋_GB2312" w:eastAsia="仿宋_GB2312"/>
          <w:sz w:val="32"/>
          <w:szCs w:val="32"/>
        </w:rPr>
      </w:pPr>
      <w:r>
        <w:rPr>
          <w:rFonts w:hint="eastAsia" w:ascii="仿宋_GB2312" w:eastAsia="仿宋_GB2312"/>
          <w:sz w:val="32"/>
          <w:szCs w:val="32"/>
        </w:rPr>
        <w:t>（2）强化我市涉外企业知识产权保护能力，面向知识产权重点企业派出专职服务人员累计不少于100人次，现场服务企业知识产权保护需求</w:t>
      </w:r>
      <w:r>
        <w:rPr>
          <w:rFonts w:ascii="仿宋_GB2312" w:eastAsia="仿宋_GB2312"/>
          <w:sz w:val="32"/>
          <w:szCs w:val="32"/>
        </w:rPr>
        <w:t>。</w:t>
      </w:r>
    </w:p>
    <w:p w14:paraId="1B3B8D81">
      <w:pPr>
        <w:spacing w:line="600" w:lineRule="exact"/>
        <w:ind w:firstLine="640" w:firstLineChars="200"/>
        <w:rPr>
          <w:rFonts w:ascii="仿宋_GB2312" w:eastAsia="仿宋_GB2312"/>
          <w:sz w:val="32"/>
          <w:szCs w:val="32"/>
        </w:rPr>
      </w:pPr>
      <w:r>
        <w:rPr>
          <w:rFonts w:hint="eastAsia" w:ascii="仿宋_GB2312" w:eastAsia="仿宋_GB2312"/>
          <w:sz w:val="32"/>
          <w:szCs w:val="32"/>
        </w:rPr>
        <w:t>（3）开发和维护知识产权查询系统，为涉外企业提供优质便捷知识产权公共服务</w:t>
      </w:r>
      <w:r>
        <w:rPr>
          <w:rFonts w:ascii="仿宋_GB2312" w:eastAsia="仿宋_GB2312"/>
          <w:sz w:val="32"/>
          <w:szCs w:val="32"/>
        </w:rPr>
        <w:t>。</w:t>
      </w:r>
    </w:p>
    <w:p w14:paraId="56B05053">
      <w:pPr>
        <w:spacing w:line="600" w:lineRule="exact"/>
        <w:ind w:firstLine="640" w:firstLineChars="200"/>
        <w:rPr>
          <w:rFonts w:ascii="仿宋_GB2312" w:eastAsia="仿宋_GB2312"/>
          <w:sz w:val="32"/>
          <w:szCs w:val="32"/>
        </w:rPr>
      </w:pPr>
      <w:r>
        <w:rPr>
          <w:rFonts w:hint="eastAsia" w:ascii="仿宋_GB2312" w:eastAsia="仿宋_GB2312"/>
          <w:sz w:val="32"/>
          <w:szCs w:val="32"/>
        </w:rPr>
        <w:t>（4）组建全市知识产权专业委员会，制定我市涉外企业知识产权保护白名单，指导服务我市涉外企业知识产权保护工作，累计服务企业不少于10次</w:t>
      </w:r>
      <w:r>
        <w:rPr>
          <w:rFonts w:ascii="仿宋_GB2312" w:eastAsia="仿宋_GB2312"/>
          <w:sz w:val="32"/>
          <w:szCs w:val="32"/>
        </w:rPr>
        <w:t>。</w:t>
      </w:r>
    </w:p>
    <w:p w14:paraId="45065E6A">
      <w:pPr>
        <w:spacing w:line="600" w:lineRule="exact"/>
        <w:ind w:firstLine="640" w:firstLineChars="200"/>
        <w:rPr>
          <w:rFonts w:ascii="仿宋_GB2312" w:eastAsia="仿宋_GB2312"/>
          <w:sz w:val="32"/>
          <w:szCs w:val="32"/>
        </w:rPr>
      </w:pPr>
      <w:r>
        <w:rPr>
          <w:rFonts w:hint="eastAsia" w:ascii="仿宋_GB2312" w:eastAsia="仿宋_GB2312"/>
          <w:sz w:val="32"/>
          <w:szCs w:val="32"/>
        </w:rPr>
        <w:t>（5）完善海外维权工作体系，围绕海外知识产权纠纷应对指导与区知识产权局、行业协会、高校及“一带一路”沿线国家海外专业机构等共建工作站，至少建立国内工作站3个、“一带一路”沿线国家工作站2个，为企业提供知识产权一站式服务。以海外知识产权保护工作站为平台，组织专家开展涉外知识产权培训不少于2场</w:t>
      </w:r>
      <w:r>
        <w:rPr>
          <w:rFonts w:ascii="仿宋_GB2312" w:eastAsia="仿宋_GB2312"/>
          <w:sz w:val="32"/>
          <w:szCs w:val="32"/>
        </w:rPr>
        <w:t>。</w:t>
      </w:r>
    </w:p>
    <w:p w14:paraId="2060CF51">
      <w:pPr>
        <w:spacing w:line="600" w:lineRule="exact"/>
        <w:ind w:firstLine="640" w:firstLineChars="200"/>
        <w:rPr>
          <w:rFonts w:ascii="仿宋_GB2312" w:eastAsia="仿宋_GB2312"/>
          <w:sz w:val="32"/>
          <w:szCs w:val="32"/>
        </w:rPr>
      </w:pPr>
      <w:r>
        <w:rPr>
          <w:rFonts w:hint="eastAsia" w:ascii="仿宋_GB2312" w:eastAsia="仿宋_GB2312"/>
          <w:sz w:val="32"/>
          <w:szCs w:val="32"/>
        </w:rPr>
        <w:t>（6）定期发布知识产权维权和预警信息，为企业提供风险预警提示。编辑印发企业风险预警和海外维权典型案例集，为我市涉外企业知识产权维权援助提供参考范例，案例不少于4件。</w:t>
      </w:r>
    </w:p>
    <w:p w14:paraId="3CFE22DA">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7C8BE985">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择优确定1个资助项目，项目资助金额不超过20万元，项目周期1年。</w:t>
      </w:r>
    </w:p>
    <w:p w14:paraId="1E8A9BD7">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项目咨询人：曲达；咨询电话：23039863</w:t>
      </w:r>
    </w:p>
    <w:p w14:paraId="468938C8">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（四）支持方向4：重点行业知识产权保护服务</w:t>
      </w:r>
    </w:p>
    <w:p w14:paraId="19543AE8">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4F649F7C">
      <w:pPr>
        <w:spacing w:line="600" w:lineRule="exact"/>
        <w:ind w:firstLine="640" w:firstLineChars="200"/>
        <w:rPr>
          <w:rFonts w:ascii="仿宋_GB2312" w:eastAsia="仿宋_GB2312"/>
          <w:sz w:val="32"/>
          <w:szCs w:val="32"/>
        </w:rPr>
      </w:pPr>
      <w:r>
        <w:rPr>
          <w:rFonts w:hint="eastAsia" w:ascii="仿宋_GB2312" w:eastAsia="仿宋_GB2312"/>
          <w:sz w:val="32"/>
          <w:szCs w:val="32"/>
        </w:rPr>
        <w:t>围绕重点行业、重点领域知识产权保护问题，帮助重点企业建立完善知识产权保护制度，应对知识产权纠纷，开展海外维权援助服务，通过行业协会和重点企业的带动作用，覆盖全行业有效防范知识产权法律风险，提升国际化经营能力。</w:t>
      </w:r>
    </w:p>
    <w:p w14:paraId="624743A4">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62FAE47C">
      <w:pPr>
        <w:spacing w:line="600" w:lineRule="exact"/>
        <w:ind w:firstLine="640" w:firstLineChars="200"/>
        <w:rPr>
          <w:rFonts w:ascii="仿宋_GB2312" w:eastAsia="仿宋_GB2312"/>
          <w:sz w:val="32"/>
          <w:szCs w:val="32"/>
        </w:rPr>
      </w:pPr>
      <w:r>
        <w:rPr>
          <w:rFonts w:hint="eastAsia" w:ascii="仿宋_GB2312" w:eastAsia="仿宋_GB2312"/>
          <w:sz w:val="32"/>
          <w:szCs w:val="32"/>
        </w:rPr>
        <w:t>（1）申报单位是行业协会或重点领域企业,对相关领域知识产权工作具有较深入的研究，具有对重点行业和领域企业的统筹、指导、服务能力。</w:t>
      </w:r>
    </w:p>
    <w:p w14:paraId="4E1C5731">
      <w:pPr>
        <w:spacing w:line="600" w:lineRule="exact"/>
        <w:ind w:firstLine="640" w:firstLineChars="200"/>
        <w:rPr>
          <w:rFonts w:ascii="仿宋_GB2312" w:eastAsia="仿宋_GB2312"/>
          <w:sz w:val="32"/>
          <w:szCs w:val="32"/>
        </w:rPr>
      </w:pPr>
      <w:r>
        <w:rPr>
          <w:rFonts w:hint="eastAsia" w:ascii="仿宋_GB2312" w:eastAsia="仿宋_GB2312"/>
          <w:sz w:val="32"/>
          <w:szCs w:val="32"/>
        </w:rPr>
        <w:t>（2）能够开展知识产权保护相关工作的能力，具备一定的知识产权工作经验。已建立知识产权保护工作制度，拥有专业知识产权服务团队，能够提供知识产权法律专业咨询，指导企业处理知识产权纠纷，管理知识产权案件流程，研究梳理知识产权纠纷调解典型案例等。</w:t>
      </w:r>
    </w:p>
    <w:p w14:paraId="3049CD17">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1A4DC07A">
      <w:pPr>
        <w:spacing w:line="600" w:lineRule="exact"/>
        <w:ind w:firstLine="640" w:firstLineChars="200"/>
        <w:rPr>
          <w:rFonts w:ascii="仿宋_GB2312" w:eastAsia="仿宋_GB2312"/>
          <w:sz w:val="32"/>
          <w:szCs w:val="32"/>
        </w:rPr>
      </w:pPr>
      <w:r>
        <w:rPr>
          <w:rFonts w:hint="eastAsia" w:ascii="仿宋_GB2312" w:eastAsia="仿宋_GB2312"/>
          <w:sz w:val="32"/>
          <w:szCs w:val="32"/>
        </w:rPr>
        <w:t>（1）针对特定领域和行业知识产权保护需求，组织开展不少于2期政策宣讲，巩固和提升企业知识产权保护工作水平，并形成培训服务成果报告</w:t>
      </w:r>
      <w:r>
        <w:rPr>
          <w:rFonts w:ascii="仿宋_GB2312" w:eastAsia="仿宋_GB2312"/>
          <w:sz w:val="32"/>
          <w:szCs w:val="32"/>
        </w:rPr>
        <w:t>。</w:t>
      </w:r>
    </w:p>
    <w:p w14:paraId="33DDC8FC">
      <w:pPr>
        <w:spacing w:line="600" w:lineRule="exact"/>
        <w:ind w:firstLine="640" w:firstLineChars="200"/>
        <w:rPr>
          <w:rFonts w:ascii="仿宋_GB2312" w:eastAsia="仿宋_GB2312"/>
          <w:sz w:val="32"/>
          <w:szCs w:val="32"/>
        </w:rPr>
      </w:pPr>
      <w:r>
        <w:rPr>
          <w:rFonts w:hint="eastAsia" w:ascii="仿宋_GB2312" w:eastAsia="仿宋_GB2312"/>
          <w:sz w:val="32"/>
          <w:szCs w:val="32"/>
        </w:rPr>
        <w:t>（2）面向重点领域和行业，聚焦企业知识产权维权援助，助力企业创新发展质效，至少对10个企业开展知识产权保护精准服务，编辑印发《天津市某重点产业知识产权纠纷调查报告》，为我市企业知识产权维权援助提供参考范例，其中包含案例不少于4件。</w:t>
      </w:r>
    </w:p>
    <w:p w14:paraId="5E743C05">
      <w:pPr>
        <w:spacing w:line="600" w:lineRule="exact"/>
        <w:ind w:firstLine="640" w:firstLineChars="200"/>
        <w:rPr>
          <w:rFonts w:ascii="仿宋_GB2312" w:eastAsia="仿宋_GB2312"/>
          <w:sz w:val="32"/>
          <w:szCs w:val="32"/>
        </w:rPr>
      </w:pPr>
      <w:r>
        <w:rPr>
          <w:rFonts w:hint="eastAsia" w:ascii="仿宋_GB2312" w:eastAsia="仿宋_GB2312"/>
          <w:sz w:val="32"/>
          <w:szCs w:val="32"/>
        </w:rPr>
        <w:t>（3）针对行业重点企业，围绕建立和完善知识产权保护制度，提升企业应对知识产权纠纷为目标，组织建立行业知识产权专业队伍，借助专业资源为本行业重点企业开展辅导培训，培训企业管理人员不少于20人次，编制发放《天津市某行业（领域）知识产权保护政策指南》，发放数量不少于100册</w:t>
      </w:r>
      <w:r>
        <w:rPr>
          <w:rFonts w:ascii="仿宋_GB2312" w:eastAsia="仿宋_GB2312"/>
          <w:sz w:val="32"/>
          <w:szCs w:val="32"/>
        </w:rPr>
        <w:t>。</w:t>
      </w:r>
    </w:p>
    <w:p w14:paraId="2C2F68CE">
      <w:pPr>
        <w:spacing w:line="600" w:lineRule="exact"/>
        <w:ind w:firstLine="640" w:firstLineChars="200"/>
        <w:rPr>
          <w:rFonts w:ascii="仿宋_GB2312" w:eastAsia="仿宋_GB2312"/>
          <w:sz w:val="32"/>
          <w:szCs w:val="32"/>
        </w:rPr>
      </w:pPr>
      <w:r>
        <w:rPr>
          <w:rFonts w:hint="eastAsia" w:ascii="仿宋_GB2312" w:eastAsia="仿宋_GB2312"/>
          <w:sz w:val="32"/>
          <w:szCs w:val="32"/>
        </w:rPr>
        <w:t>（4）建立宣传培训、信息监测、风险预警、应对指导、能力提升的知识产权保护服务制度，夯实知识产权公共服务基础。</w:t>
      </w:r>
    </w:p>
    <w:p w14:paraId="31D46A46">
      <w:pPr>
        <w:spacing w:line="600" w:lineRule="exact"/>
        <w:ind w:firstLine="640" w:firstLineChars="200"/>
        <w:rPr>
          <w:rFonts w:ascii="仿宋_GB2312" w:eastAsia="仿宋_GB2312"/>
          <w:sz w:val="32"/>
          <w:szCs w:val="32"/>
        </w:rPr>
      </w:pPr>
      <w:r>
        <w:rPr>
          <w:rFonts w:hint="eastAsia" w:ascii="仿宋_GB2312" w:eastAsia="仿宋_GB2312"/>
          <w:sz w:val="32"/>
          <w:szCs w:val="32"/>
        </w:rPr>
        <w:t>（5）围绕我市重点产业链，对接国内外优质专家资源，支持企业开展知识产权海外侵权风险识别和防控，助推企业“走出去”。</w:t>
      </w:r>
    </w:p>
    <w:p w14:paraId="3CFDC530">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6E82A065">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择优确定不超过8个资助项目，每个项目资助金额不超过5万元，项目周期1年。</w:t>
      </w:r>
    </w:p>
    <w:p w14:paraId="24503A5B">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项目咨询人：曲达；咨询电话：23039863</w:t>
      </w:r>
    </w:p>
    <w:p w14:paraId="34DB6BAF">
      <w:pPr>
        <w:numPr>
          <w:ilvl w:val="0"/>
          <w:numId w:val="1"/>
        </w:num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支持方向5：区域知识产权维权援助</w:t>
      </w:r>
    </w:p>
    <w:p w14:paraId="60BEDC02">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1.项目目标</w:t>
      </w:r>
    </w:p>
    <w:p w14:paraId="150B24DA">
      <w:pPr>
        <w:spacing w:line="600" w:lineRule="exact"/>
        <w:ind w:firstLine="640" w:firstLineChars="200"/>
        <w:rPr>
          <w:rFonts w:ascii="仿宋_GB2312" w:eastAsia="仿宋_GB2312"/>
          <w:sz w:val="32"/>
          <w:szCs w:val="32"/>
        </w:rPr>
      </w:pPr>
      <w:r>
        <w:rPr>
          <w:rFonts w:hint="eastAsia" w:ascii="仿宋_GB2312" w:eastAsia="仿宋_GB2312"/>
          <w:sz w:val="32"/>
          <w:szCs w:val="32"/>
        </w:rPr>
        <w:t>完善知识产权维权援助服务体系，充分利用京津冀专业人才资源，为天津市重点行业、产业链、园区的相关企事业单位提供知识产权维权援助服务，高质量服务创新主体的知识产权保护需求，提升天津市企业、高校、科研院所等创新主体的知识产权保护能力，助力区域经济发展。</w:t>
      </w:r>
    </w:p>
    <w:p w14:paraId="679176CA">
      <w:pPr>
        <w:spacing w:line="60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52871B0B">
      <w:pPr>
        <w:spacing w:line="600" w:lineRule="exact"/>
        <w:ind w:firstLine="640" w:firstLineChars="200"/>
        <w:rPr>
          <w:rFonts w:ascii="仿宋_GB2312" w:eastAsia="仿宋_GB2312"/>
          <w:sz w:val="32"/>
          <w:szCs w:val="32"/>
        </w:rPr>
      </w:pPr>
      <w:r>
        <w:rPr>
          <w:rFonts w:hint="eastAsia" w:ascii="仿宋_GB2312" w:eastAsia="仿宋_GB2312"/>
          <w:sz w:val="32"/>
          <w:szCs w:val="32"/>
        </w:rPr>
        <w:t>申报单位应具备来源合法的国家知识产权数据资源，具备整合京津冀专家人才资源开展知识产权维权援助的工作基础，具备知识产权风险预警及侵权比对分析、知识产权纠纷应对、知识产权维权援助等相关经验，具备至少5名具有知识产权风险预警及侵权比对分析、知识产权纠纷应对、知识产权诉讼、知识产权维权援助等经验的专职人员。</w:t>
      </w:r>
    </w:p>
    <w:p w14:paraId="242551E9">
      <w:pPr>
        <w:spacing w:line="60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46C4141D">
      <w:pPr>
        <w:spacing w:line="600" w:lineRule="exact"/>
        <w:ind w:firstLine="640" w:firstLineChars="200"/>
        <w:rPr>
          <w:rFonts w:ascii="仿宋_GB2312" w:eastAsia="仿宋_GB2312"/>
          <w:sz w:val="32"/>
          <w:szCs w:val="32"/>
        </w:rPr>
      </w:pPr>
      <w:r>
        <w:rPr>
          <w:rFonts w:hint="eastAsia" w:ascii="仿宋_GB2312" w:eastAsia="仿宋_GB2312"/>
          <w:sz w:val="32"/>
          <w:szCs w:val="32"/>
        </w:rPr>
        <w:t>（1）利用国家资源服务我市知识产权保护工作，为天津企业开展1次海外保护培训，不少于50人。</w:t>
      </w:r>
    </w:p>
    <w:p w14:paraId="6B44666A">
      <w:pPr>
        <w:spacing w:line="600" w:lineRule="exact"/>
        <w:ind w:firstLine="640" w:firstLineChars="200"/>
        <w:rPr>
          <w:rFonts w:ascii="仿宋_GB2312" w:eastAsia="仿宋_GB2312"/>
          <w:sz w:val="32"/>
          <w:szCs w:val="32"/>
        </w:rPr>
      </w:pPr>
      <w:r>
        <w:rPr>
          <w:rFonts w:hint="eastAsia" w:ascii="仿宋_GB2312" w:eastAsia="仿宋_GB2312"/>
          <w:sz w:val="32"/>
          <w:szCs w:val="32"/>
        </w:rPr>
        <w:t>（2）为我市不少于5个相关部门或企业提供知识产权纠纷应对指导服务。</w:t>
      </w:r>
    </w:p>
    <w:p w14:paraId="3A19CE18">
      <w:pPr>
        <w:spacing w:line="600" w:lineRule="exact"/>
        <w:ind w:firstLine="640" w:firstLineChars="200"/>
        <w:rPr>
          <w:rFonts w:ascii="仿宋_GB2312" w:eastAsia="仿宋_GB2312"/>
          <w:sz w:val="32"/>
          <w:szCs w:val="32"/>
        </w:rPr>
      </w:pPr>
      <w:r>
        <w:rPr>
          <w:rFonts w:hint="eastAsia" w:ascii="仿宋_GB2312" w:eastAsia="仿宋_GB2312"/>
          <w:sz w:val="32"/>
          <w:szCs w:val="32"/>
        </w:rPr>
        <w:t>（3）分析天津重点产业和重点企业知识产权情况，形成天津企业海外知识产权保护应对策略分析报告。</w:t>
      </w:r>
    </w:p>
    <w:p w14:paraId="0B04439E">
      <w:pPr>
        <w:spacing w:line="60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3DA2B028">
      <w:pPr>
        <w:spacing w:line="60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择优确定1个资助项目，项目资助金额不超过10万元。项目周期1年。</w:t>
      </w:r>
    </w:p>
    <w:p w14:paraId="254CCB5F">
      <w:pPr>
        <w:spacing w:line="600" w:lineRule="exact"/>
        <w:ind w:firstLine="640" w:firstLineChars="200"/>
        <w:rPr>
          <w:rFonts w:ascii="仿宋_GB2312" w:eastAsia="仿宋_GB2312"/>
          <w:sz w:val="32"/>
          <w:szCs w:val="32"/>
        </w:rPr>
      </w:pPr>
      <w:r>
        <w:rPr>
          <w:rFonts w:hint="eastAsia" w:ascii="仿宋_GB2312" w:eastAsia="仿宋_GB2312"/>
          <w:sz w:val="32"/>
          <w:szCs w:val="32"/>
        </w:rPr>
        <w:t>项目咨询人：孙燕东；咨询电话：23039863</w:t>
      </w:r>
    </w:p>
    <w:p w14:paraId="0E22B104">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（六）支持方向6：知识产权保护督查和满意度调查</w:t>
      </w:r>
    </w:p>
    <w:p w14:paraId="63ED8E17">
      <w:pPr>
        <w:spacing w:line="56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2B70E591">
      <w:pPr>
        <w:spacing w:line="560" w:lineRule="exact"/>
        <w:ind w:firstLine="640" w:firstLineChars="200"/>
        <w:rPr>
          <w:rFonts w:ascii="仿宋_GB2312" w:eastAsia="仿宋_GB2312"/>
          <w:sz w:val="32"/>
          <w:szCs w:val="32"/>
        </w:rPr>
      </w:pPr>
      <w:r>
        <w:rPr>
          <w:rFonts w:hint="eastAsia" w:ascii="仿宋_GB2312" w:eastAsia="仿宋_GB2312"/>
          <w:sz w:val="32"/>
          <w:szCs w:val="32"/>
        </w:rPr>
        <w:t>落实《天津市知识产权强市建设纲要（2021-2035年）》，对我市各区知识产权保护工作情况进行摸底调查，全面掌握我市各区知识产权保护工作进步情况和存在不足，客观评价各区知识产权保护工作绩效，形成区域知识产权保护督查方案和政策建议，形成评价研究报告。</w:t>
      </w:r>
    </w:p>
    <w:p w14:paraId="2523C405">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6823AD36">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申报单位应当具有开展知识产权保护政策研究的专业基础和丰富经验，优先选择承担过全市知识产权保护督查相关工作的单位。</w:t>
      </w:r>
    </w:p>
    <w:p w14:paraId="3BB8CFB4">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3.项目任务 </w:t>
      </w:r>
    </w:p>
    <w:p w14:paraId="3C04F320">
      <w:pPr>
        <w:spacing w:line="560" w:lineRule="exact"/>
        <w:ind w:firstLine="640" w:firstLineChars="200"/>
        <w:rPr>
          <w:rFonts w:ascii="仿宋_GB2312" w:eastAsia="仿宋_GB2312"/>
          <w:sz w:val="32"/>
          <w:szCs w:val="32"/>
        </w:rPr>
      </w:pPr>
      <w:r>
        <w:rPr>
          <w:rFonts w:hint="eastAsia" w:ascii="仿宋_GB2312" w:eastAsia="仿宋_GB2312"/>
          <w:sz w:val="32"/>
          <w:szCs w:val="32"/>
        </w:rPr>
        <w:t>（1）组织开展天津市各区知识产权保护督查，编制2026年度天津市各区知识产权保护督查方案，组建督查小组并负责日常工作，编制督查报告。</w:t>
      </w:r>
    </w:p>
    <w:p w14:paraId="24EFD816">
      <w:pPr>
        <w:spacing w:line="560" w:lineRule="exact"/>
        <w:ind w:firstLine="640" w:firstLineChars="200"/>
        <w:rPr>
          <w:rFonts w:ascii="仿宋_GB2312" w:eastAsia="仿宋_GB2312"/>
          <w:sz w:val="32"/>
          <w:szCs w:val="32"/>
        </w:rPr>
      </w:pPr>
      <w:r>
        <w:rPr>
          <w:rFonts w:hint="eastAsia" w:ascii="仿宋_GB2312" w:eastAsia="仿宋_GB2312"/>
          <w:sz w:val="32"/>
          <w:szCs w:val="32"/>
        </w:rPr>
        <w:t>（2）组织指导开展天津市知识产权保护社会满意度调查，组织制定天津市知识产权保护社会满意度调查方案，问卷量不少于1000家，撰写形成满意度调查报告。</w:t>
      </w:r>
    </w:p>
    <w:p w14:paraId="20418615">
      <w:pPr>
        <w:spacing w:line="560" w:lineRule="exact"/>
        <w:ind w:firstLine="640" w:firstLineChars="200"/>
        <w:rPr>
          <w:rFonts w:ascii="仿宋_GB2312" w:eastAsia="仿宋_GB2312"/>
          <w:sz w:val="32"/>
          <w:szCs w:val="32"/>
        </w:rPr>
      </w:pPr>
      <w:r>
        <w:rPr>
          <w:rFonts w:hint="eastAsia" w:ascii="仿宋_GB2312" w:eastAsia="仿宋_GB2312"/>
          <w:sz w:val="32"/>
          <w:szCs w:val="32"/>
        </w:rPr>
        <w:t>（3）开展天津市知识产权实力监测评估，形成评估报告，全面梳理评价各区知识产权保护工作。</w:t>
      </w:r>
    </w:p>
    <w:p w14:paraId="0CC18F0D">
      <w:pPr>
        <w:spacing w:line="560" w:lineRule="exact"/>
        <w:ind w:firstLine="640" w:firstLineChars="200"/>
        <w:rPr>
          <w:rFonts w:ascii="仿宋_GB2312" w:eastAsia="仿宋_GB2312"/>
          <w:sz w:val="32"/>
          <w:szCs w:val="32"/>
        </w:rPr>
      </w:pPr>
      <w:r>
        <w:rPr>
          <w:rFonts w:hint="eastAsia" w:ascii="仿宋_GB2312" w:eastAsia="仿宋_GB2312"/>
          <w:sz w:val="32"/>
          <w:szCs w:val="32"/>
        </w:rPr>
        <w:t>（4）开展天津市加强海外知识产权保护政策研究，为制定全市保护政策提供专业建议。</w:t>
      </w:r>
    </w:p>
    <w:p w14:paraId="78999AC5">
      <w:pPr>
        <w:spacing w:line="560" w:lineRule="exact"/>
        <w:ind w:firstLine="640" w:firstLineChars="200"/>
        <w:rPr>
          <w:rFonts w:ascii="仿宋_GB2312" w:eastAsia="仿宋_GB2312"/>
          <w:sz w:val="32"/>
          <w:szCs w:val="32"/>
        </w:rPr>
      </w:pPr>
      <w:r>
        <w:rPr>
          <w:rFonts w:hint="eastAsia" w:ascii="仿宋_GB2312" w:eastAsia="仿宋_GB2312"/>
          <w:sz w:val="32"/>
          <w:szCs w:val="32"/>
        </w:rPr>
        <w:t>（5）为全国性知识产权保护重大活动提供专业服务和智力支持。</w:t>
      </w:r>
    </w:p>
    <w:p w14:paraId="37D3687C">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445C2CB2">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择优确定1个资助项目，项目资助金额不超过30万元。项目周期1年。</w:t>
      </w:r>
    </w:p>
    <w:p w14:paraId="1F2B85BA">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项目咨询人：曲达；咨询电话：23039863</w:t>
      </w:r>
    </w:p>
    <w:p w14:paraId="63B5FAF9">
      <w:pPr>
        <w:spacing w:line="600" w:lineRule="exact"/>
        <w:ind w:firstLine="643" w:firstLineChars="200"/>
        <w:rPr>
          <w:rFonts w:ascii="仿宋_GB2312" w:eastAsia="仿宋_GB2312"/>
          <w:sz w:val="32"/>
          <w:szCs w:val="32"/>
        </w:rPr>
      </w:pPr>
      <w:r>
        <w:rPr>
          <w:rFonts w:hint="eastAsia" w:ascii="仿宋_GB2312" w:eastAsia="仿宋_GB2312"/>
          <w:b/>
          <w:bCs/>
          <w:sz w:val="32"/>
          <w:szCs w:val="32"/>
        </w:rPr>
        <w:t>（七）支持方向7：知识产权鉴定</w:t>
      </w:r>
    </w:p>
    <w:p w14:paraId="576A0A75">
      <w:pPr>
        <w:spacing w:line="56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1A2008D7">
      <w:pPr>
        <w:spacing w:line="560" w:lineRule="exact"/>
        <w:ind w:firstLine="640" w:firstLineChars="200"/>
        <w:rPr>
          <w:rFonts w:ascii="仿宋_GB2312" w:eastAsia="仿宋_GB2312"/>
          <w:sz w:val="32"/>
          <w:szCs w:val="32"/>
        </w:rPr>
      </w:pPr>
      <w:r>
        <w:rPr>
          <w:rFonts w:hint="eastAsia" w:ascii="仿宋_GB2312" w:eastAsia="仿宋_GB2312"/>
          <w:sz w:val="32"/>
          <w:szCs w:val="32"/>
        </w:rPr>
        <w:t>开展知识产权鉴定机构备案培育，充分发挥知识产权鉴定机构在行政执法和司法保护中的积极作用，加强鉴定机构培育指导。</w:t>
      </w:r>
    </w:p>
    <w:p w14:paraId="59FFEDE1">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4A55BF68">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申报单位应为知识产权鉴定备案培育机构。</w:t>
      </w:r>
    </w:p>
    <w:p w14:paraId="569CDD7C">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5AE9BCAE">
      <w:pPr>
        <w:spacing w:line="560" w:lineRule="exact"/>
        <w:ind w:firstLine="640" w:firstLineChars="200"/>
        <w:rPr>
          <w:rFonts w:ascii="仿宋_GB2312" w:eastAsia="仿宋_GB2312"/>
          <w:sz w:val="32"/>
          <w:szCs w:val="32"/>
        </w:rPr>
      </w:pPr>
      <w:r>
        <w:rPr>
          <w:rFonts w:hint="eastAsia" w:ascii="仿宋_GB2312" w:eastAsia="仿宋_GB2312"/>
          <w:sz w:val="32"/>
          <w:szCs w:val="32"/>
        </w:rPr>
        <w:t>（1） 建立知识产权鉴定工作方案，包括但不限于鉴定机构基本信息、鉴定领域范围、鉴定程序、收费标准、报告模板等。</w:t>
      </w:r>
    </w:p>
    <w:p w14:paraId="53F848DC">
      <w:pPr>
        <w:spacing w:line="560" w:lineRule="exact"/>
        <w:ind w:firstLine="640" w:firstLineChars="200"/>
        <w:rPr>
          <w:rFonts w:ascii="仿宋_GB2312" w:eastAsia="仿宋_GB2312"/>
          <w:sz w:val="32"/>
          <w:szCs w:val="32"/>
        </w:rPr>
      </w:pPr>
      <w:r>
        <w:rPr>
          <w:rFonts w:hint="eastAsia" w:ascii="仿宋_GB2312" w:eastAsia="仿宋_GB2312"/>
          <w:sz w:val="32"/>
          <w:szCs w:val="32"/>
        </w:rPr>
        <w:t>（2）建立知识产权鉴定专业人才队伍，包括全职人员及外聘人员。高级职称数量不少于10人。</w:t>
      </w:r>
    </w:p>
    <w:p w14:paraId="770FFE1B">
      <w:pPr>
        <w:spacing w:line="560" w:lineRule="exact"/>
        <w:ind w:firstLine="640" w:firstLineChars="200"/>
        <w:rPr>
          <w:rFonts w:ascii="仿宋_GB2312" w:eastAsia="仿宋_GB2312"/>
          <w:sz w:val="32"/>
          <w:szCs w:val="32"/>
        </w:rPr>
      </w:pPr>
      <w:r>
        <w:rPr>
          <w:rFonts w:hint="eastAsia" w:ascii="仿宋_GB2312" w:eastAsia="仿宋_GB2312"/>
          <w:sz w:val="32"/>
          <w:szCs w:val="32"/>
        </w:rPr>
        <w:t>（3）在行政执法和司法保护案件审理中发挥知识产权鉴定作用，项目期内作出不少于1篇应用于执法实践的知识产权鉴定（咨询）报告。</w:t>
      </w:r>
    </w:p>
    <w:p w14:paraId="3B943803">
      <w:pPr>
        <w:spacing w:line="560" w:lineRule="exact"/>
        <w:ind w:firstLine="640" w:firstLineChars="200"/>
        <w:rPr>
          <w:rFonts w:ascii="仿宋_GB2312" w:eastAsia="仿宋_GB2312"/>
          <w:sz w:val="32"/>
          <w:szCs w:val="32"/>
        </w:rPr>
      </w:pPr>
      <w:r>
        <w:rPr>
          <w:rFonts w:hint="eastAsia" w:ascii="仿宋_GB2312" w:eastAsia="仿宋_GB2312"/>
          <w:sz w:val="32"/>
          <w:szCs w:val="32"/>
        </w:rPr>
        <w:t>（4）每季度向项目主管处室报送项目实施成效、典型案例等信息或建议。</w:t>
      </w:r>
    </w:p>
    <w:p w14:paraId="40359BA3">
      <w:pPr>
        <w:spacing w:line="560" w:lineRule="exact"/>
        <w:ind w:firstLine="640" w:firstLineChars="200"/>
        <w:rPr>
          <w:rFonts w:ascii="仿宋_GB2312" w:eastAsia="仿宋_GB2312"/>
          <w:sz w:val="32"/>
          <w:szCs w:val="32"/>
        </w:rPr>
      </w:pPr>
      <w:r>
        <w:rPr>
          <w:rFonts w:hint="eastAsia" w:ascii="仿宋_GB2312" w:eastAsia="仿宋_GB2312"/>
          <w:sz w:val="32"/>
          <w:szCs w:val="32"/>
        </w:rPr>
        <w:t>（5）择优确定1家为牵头单位，除项目任务（1）-（4）外，需额外承担天津知识产权鉴定工作质效提升工作。具体包括建立知识产权鉴定工作协调机制；每半年邀请国家知识产权鉴定政策制定单位、国内知识产权鉴定工作先进企业提供培训；总结分析知识产权鉴定项目工作成效，形成项目报告。</w:t>
      </w:r>
    </w:p>
    <w:p w14:paraId="63A0A02B">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242D774D">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择优确定不超过6个资助项目，每个项目资助金额不超过2.5万元。择优确定牵头单位资助项目1项，项目资助金额不超过5万元，周期1年。</w:t>
      </w:r>
    </w:p>
    <w:p w14:paraId="7F468B1A">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项目咨询人：张剑光；咨询电话：022-23039863</w:t>
      </w:r>
    </w:p>
    <w:p w14:paraId="5053653F">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（八）支持方向8：海外商标预警监测</w:t>
      </w:r>
    </w:p>
    <w:p w14:paraId="2A600505">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40AD5035">
      <w:pPr>
        <w:spacing w:line="560" w:lineRule="exact"/>
        <w:ind w:firstLine="640" w:firstLineChars="200"/>
        <w:rPr>
          <w:rFonts w:ascii="仿宋_GB2312" w:eastAsia="仿宋_GB2312"/>
          <w:sz w:val="32"/>
          <w:szCs w:val="32"/>
        </w:rPr>
      </w:pPr>
      <w:r>
        <w:rPr>
          <w:rFonts w:hint="eastAsia" w:ascii="仿宋_GB2312" w:eastAsia="仿宋_GB2312"/>
          <w:sz w:val="32"/>
          <w:szCs w:val="32"/>
        </w:rPr>
        <w:t>按照《国家知识产权局办公室关于推进知识产权公共服务标准化规范化便利化的意见》规定，鼓励和支持知识产权公共服务机构在重点产业园区和科技园区建立服务机制，实现知识产权公共服务重点园区全覆盖。定期发布重点产业发展态势分析报告，建立知识产权风险预警机制，跟踪相关领域知识产权动态，及时向创新主体推送风险信息，提供风险应对方案。</w:t>
      </w:r>
    </w:p>
    <w:p w14:paraId="53EACE5B">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71FB4F60">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申报单位应为建立知识产权风险预警机制的服务机构。</w:t>
      </w:r>
    </w:p>
    <w:p w14:paraId="5120F94E">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790900AC">
      <w:pPr>
        <w:spacing w:line="560" w:lineRule="exact"/>
        <w:ind w:firstLine="640" w:firstLineChars="200"/>
        <w:rPr>
          <w:rFonts w:ascii="仿宋_GB2312" w:eastAsia="仿宋_GB2312"/>
          <w:sz w:val="32"/>
          <w:szCs w:val="32"/>
        </w:rPr>
      </w:pPr>
      <w:r>
        <w:rPr>
          <w:rFonts w:hint="eastAsia" w:ascii="仿宋_GB2312" w:eastAsia="仿宋_GB2312"/>
          <w:sz w:val="32"/>
          <w:szCs w:val="32"/>
        </w:rPr>
        <w:t>（1）每季度对全市“走出去”企业商标情况进行分析，形成分析报告</w:t>
      </w:r>
      <w:r>
        <w:rPr>
          <w:rFonts w:ascii="仿宋_GB2312" w:eastAsia="仿宋_GB2312"/>
          <w:sz w:val="32"/>
          <w:szCs w:val="32"/>
        </w:rPr>
        <w:t>。</w:t>
      </w:r>
    </w:p>
    <w:p w14:paraId="696BB06E">
      <w:pPr>
        <w:spacing w:line="560" w:lineRule="exact"/>
        <w:ind w:firstLine="640" w:firstLineChars="200"/>
        <w:rPr>
          <w:rFonts w:ascii="仿宋_GB2312" w:eastAsia="仿宋_GB2312"/>
          <w:sz w:val="32"/>
          <w:szCs w:val="32"/>
        </w:rPr>
      </w:pPr>
      <w:r>
        <w:rPr>
          <w:rFonts w:hint="eastAsia" w:ascii="仿宋_GB2312" w:eastAsia="仿宋_GB2312"/>
          <w:sz w:val="32"/>
          <w:szCs w:val="32"/>
        </w:rPr>
        <w:t>（2）每两个月对不少于30家重点企业进行海外商标监测，形成监测报告</w:t>
      </w:r>
      <w:r>
        <w:rPr>
          <w:rFonts w:ascii="仿宋_GB2312" w:eastAsia="仿宋_GB2312"/>
          <w:sz w:val="32"/>
          <w:szCs w:val="32"/>
        </w:rPr>
        <w:t>。</w:t>
      </w:r>
    </w:p>
    <w:p w14:paraId="635C662B">
      <w:pPr>
        <w:spacing w:line="560" w:lineRule="exact"/>
        <w:ind w:firstLine="640" w:firstLineChars="200"/>
        <w:rPr>
          <w:rFonts w:ascii="仿宋_GB2312" w:eastAsia="仿宋_GB2312"/>
          <w:sz w:val="32"/>
          <w:szCs w:val="32"/>
        </w:rPr>
      </w:pPr>
      <w:r>
        <w:rPr>
          <w:rFonts w:hint="eastAsia" w:ascii="仿宋_GB2312" w:eastAsia="仿宋_GB2312"/>
          <w:sz w:val="32"/>
          <w:szCs w:val="32"/>
        </w:rPr>
        <w:t>（3）每年对重点企业开展不少于10次海外侵权预警宣传培训</w:t>
      </w:r>
      <w:r>
        <w:rPr>
          <w:rFonts w:ascii="仿宋_GB2312" w:eastAsia="仿宋_GB2312"/>
          <w:sz w:val="32"/>
          <w:szCs w:val="32"/>
        </w:rPr>
        <w:t>。</w:t>
      </w:r>
    </w:p>
    <w:p w14:paraId="6AC86346">
      <w:pPr>
        <w:spacing w:line="560" w:lineRule="exact"/>
        <w:ind w:firstLine="640" w:firstLineChars="200"/>
        <w:rPr>
          <w:rFonts w:ascii="仿宋_GB2312" w:eastAsia="仿宋_GB2312"/>
          <w:sz w:val="32"/>
          <w:szCs w:val="32"/>
        </w:rPr>
      </w:pPr>
      <w:r>
        <w:rPr>
          <w:rFonts w:hint="eastAsia" w:ascii="仿宋_GB2312" w:eastAsia="仿宋_GB2312"/>
          <w:sz w:val="32"/>
          <w:szCs w:val="32"/>
        </w:rPr>
        <w:t>（4）每年对具体纠纷案件及时进行不少于10次指导服务，形成案件分析报告</w:t>
      </w:r>
      <w:r>
        <w:rPr>
          <w:rFonts w:ascii="仿宋_GB2312" w:eastAsia="仿宋_GB2312"/>
          <w:sz w:val="32"/>
          <w:szCs w:val="32"/>
        </w:rPr>
        <w:t>。</w:t>
      </w:r>
    </w:p>
    <w:p w14:paraId="24956499">
      <w:pPr>
        <w:spacing w:line="560" w:lineRule="exact"/>
        <w:ind w:firstLine="640" w:firstLineChars="200"/>
        <w:rPr>
          <w:rFonts w:ascii="仿宋_GB2312" w:eastAsia="仿宋_GB2312"/>
          <w:sz w:val="32"/>
          <w:szCs w:val="32"/>
        </w:rPr>
      </w:pPr>
      <w:r>
        <w:rPr>
          <w:rFonts w:hint="eastAsia" w:ascii="仿宋_GB2312" w:eastAsia="仿宋_GB2312"/>
          <w:sz w:val="32"/>
          <w:szCs w:val="32"/>
        </w:rPr>
        <w:t>（5）每季度向项目主管处室报送项目实施成效、典型案例等信息或建议。</w:t>
      </w:r>
    </w:p>
    <w:p w14:paraId="12411847">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664D1556">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择优确定不超过2个资助项目，每个项目资助金额不超过10万元。项目周期1年。</w:t>
      </w:r>
    </w:p>
    <w:p w14:paraId="36387144">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项目咨询人：马博；咨询电话：84493629</w:t>
      </w:r>
    </w:p>
    <w:p w14:paraId="2E5DFC32">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（九）支持方向9：地理标志保护运用服务</w:t>
      </w:r>
    </w:p>
    <w:p w14:paraId="66A0D05F">
      <w:pPr>
        <w:spacing w:line="56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4266ADEB">
      <w:pPr>
        <w:spacing w:line="560" w:lineRule="exact"/>
        <w:ind w:firstLine="640" w:firstLineChars="200"/>
        <w:rPr>
          <w:rFonts w:ascii="仿宋_GB2312" w:eastAsia="仿宋_GB2312"/>
          <w:sz w:val="32"/>
          <w:szCs w:val="32"/>
        </w:rPr>
      </w:pPr>
      <w:r>
        <w:rPr>
          <w:rFonts w:hint="eastAsia" w:ascii="仿宋_GB2312" w:eastAsia="仿宋_GB2312"/>
          <w:sz w:val="32"/>
          <w:szCs w:val="32"/>
        </w:rPr>
        <w:t>积极服务地理标志产品向规模化、品牌化方向发展，挖掘、培育、申报地理标志产品，为地理标志保护运用提供技术支持。</w:t>
      </w:r>
    </w:p>
    <w:p w14:paraId="782AEF4D">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222B627F">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申报单位应为知识产权服务机构。</w:t>
      </w:r>
    </w:p>
    <w:p w14:paraId="756E6FFC">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28CB0C30">
      <w:pPr>
        <w:spacing w:line="560" w:lineRule="exact"/>
        <w:ind w:firstLine="640" w:firstLineChars="200"/>
        <w:rPr>
          <w:rFonts w:ascii="仿宋_GB2312" w:eastAsia="仿宋_GB2312"/>
          <w:sz w:val="32"/>
          <w:szCs w:val="32"/>
        </w:rPr>
      </w:pPr>
      <w:r>
        <w:rPr>
          <w:rFonts w:hint="eastAsia" w:ascii="仿宋_GB2312" w:eastAsia="仿宋_GB2312"/>
          <w:sz w:val="32"/>
          <w:szCs w:val="32"/>
        </w:rPr>
        <w:t>（1）服务本市地理标志产品保护示范区建设、重点地区地理标志保护工程项目，协助开展地理标志产品保护示范区建设年度成效总结分析</w:t>
      </w:r>
      <w:r>
        <w:rPr>
          <w:rFonts w:ascii="仿宋_GB2312" w:eastAsia="仿宋_GB2312"/>
          <w:sz w:val="32"/>
          <w:szCs w:val="32"/>
        </w:rPr>
        <w:t>。</w:t>
      </w:r>
    </w:p>
    <w:p w14:paraId="109F47CF">
      <w:pPr>
        <w:spacing w:line="560" w:lineRule="exact"/>
        <w:ind w:firstLine="640" w:firstLineChars="200"/>
        <w:rPr>
          <w:rFonts w:ascii="仿宋_GB2312" w:eastAsia="仿宋_GB2312"/>
          <w:sz w:val="32"/>
          <w:szCs w:val="32"/>
        </w:rPr>
      </w:pPr>
      <w:r>
        <w:rPr>
          <w:rFonts w:hint="eastAsia" w:ascii="仿宋_GB2312" w:eastAsia="仿宋_GB2312"/>
          <w:sz w:val="32"/>
          <w:szCs w:val="32"/>
        </w:rPr>
        <w:t>（2）开展不少于2次地理标志申请培训，培训不少于20人次</w:t>
      </w:r>
      <w:r>
        <w:rPr>
          <w:rFonts w:ascii="仿宋_GB2312" w:eastAsia="仿宋_GB2312"/>
          <w:sz w:val="32"/>
          <w:szCs w:val="32"/>
        </w:rPr>
        <w:t>。</w:t>
      </w:r>
    </w:p>
    <w:p w14:paraId="499296C8">
      <w:pPr>
        <w:spacing w:line="560" w:lineRule="exact"/>
        <w:ind w:firstLine="640" w:firstLineChars="200"/>
        <w:rPr>
          <w:rFonts w:ascii="仿宋_GB2312" w:eastAsia="仿宋_GB2312"/>
          <w:sz w:val="32"/>
          <w:szCs w:val="32"/>
        </w:rPr>
      </w:pPr>
      <w:r>
        <w:rPr>
          <w:rFonts w:hint="eastAsia" w:ascii="仿宋_GB2312" w:eastAsia="仿宋_GB2312"/>
          <w:sz w:val="32"/>
          <w:szCs w:val="32"/>
        </w:rPr>
        <w:t>（3）指导不少于2个主体向国家知识产权局提交地理标志申请</w:t>
      </w:r>
      <w:r>
        <w:rPr>
          <w:rFonts w:ascii="仿宋_GB2312" w:eastAsia="仿宋_GB2312"/>
          <w:sz w:val="32"/>
          <w:szCs w:val="32"/>
        </w:rPr>
        <w:t>。</w:t>
      </w:r>
    </w:p>
    <w:p w14:paraId="17AF548B">
      <w:pPr>
        <w:spacing w:line="560" w:lineRule="exact"/>
        <w:ind w:firstLine="640" w:firstLineChars="200"/>
        <w:rPr>
          <w:rFonts w:ascii="仿宋_GB2312" w:eastAsia="仿宋_GB2312"/>
          <w:sz w:val="32"/>
          <w:szCs w:val="32"/>
        </w:rPr>
      </w:pPr>
      <w:r>
        <w:rPr>
          <w:rFonts w:hint="eastAsia" w:ascii="仿宋_GB2312" w:eastAsia="仿宋_GB2312"/>
          <w:sz w:val="32"/>
          <w:szCs w:val="32"/>
        </w:rPr>
        <w:t>（4）开展本市企业地理标志专用标志的使用申请指导服务，提升地理标志专用标志核准企业数量5家。</w:t>
      </w:r>
    </w:p>
    <w:p w14:paraId="3C4B22D3">
      <w:pPr>
        <w:spacing w:line="560" w:lineRule="exact"/>
        <w:ind w:firstLine="640" w:firstLineChars="200"/>
        <w:rPr>
          <w:rFonts w:ascii="仿宋_GB2312" w:eastAsia="仿宋_GB2312"/>
          <w:sz w:val="32"/>
          <w:szCs w:val="32"/>
        </w:rPr>
      </w:pPr>
      <w:r>
        <w:rPr>
          <w:rFonts w:hint="eastAsia" w:ascii="仿宋_GB2312" w:eastAsia="仿宋_GB2312"/>
          <w:sz w:val="32"/>
          <w:szCs w:val="32"/>
        </w:rPr>
        <w:t>（5）每季度向项目主管处室报送项目实施成效、典型案例等信息或建议。</w:t>
      </w:r>
    </w:p>
    <w:p w14:paraId="2983D9B0">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4242F108">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择优确定1个资助项目，项目资助金额不超过15万元。项目周期1年。</w:t>
      </w:r>
    </w:p>
    <w:p w14:paraId="1D258D4F">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项目咨询人：马博；咨询电话：84493629</w:t>
      </w:r>
    </w:p>
    <w:p w14:paraId="44AADB87">
      <w:pPr>
        <w:spacing w:line="600" w:lineRule="exact"/>
        <w:ind w:firstLine="645"/>
        <w:outlineLvl w:val="1"/>
        <w:rPr>
          <w:rFonts w:eastAsia="黑体"/>
          <w:sz w:val="32"/>
          <w:szCs w:val="32"/>
        </w:rPr>
      </w:pPr>
      <w:r>
        <w:rPr>
          <w:rFonts w:hint="eastAsia" w:ascii="黑体" w:hAnsi="黑体" w:eastAsia="黑体"/>
          <w:sz w:val="32"/>
          <w:szCs w:val="32"/>
        </w:rPr>
        <w:t>四、知识产权服务体系建设项目</w:t>
      </w:r>
    </w:p>
    <w:p w14:paraId="69B49CFD">
      <w:pPr>
        <w:spacing w:line="600" w:lineRule="exact"/>
        <w:ind w:firstLine="643" w:firstLineChars="200"/>
        <w:outlineLvl w:val="2"/>
        <w:rPr>
          <w:rFonts w:ascii="仿宋_GB2312" w:eastAsia="仿宋_GB2312"/>
          <w:b/>
          <w:bCs/>
          <w:sz w:val="32"/>
          <w:szCs w:val="32"/>
        </w:rPr>
      </w:pPr>
      <w:r>
        <w:rPr>
          <w:rFonts w:hint="eastAsia" w:ascii="仿宋_GB2312" w:eastAsia="仿宋_GB2312"/>
          <w:b/>
          <w:bCs/>
          <w:sz w:val="32"/>
          <w:szCs w:val="32"/>
        </w:rPr>
        <w:t>（一）支持方向1：国家知识产权服务业高质量集聚发展示范区培育</w:t>
      </w:r>
    </w:p>
    <w:p w14:paraId="50F772AC">
      <w:pPr>
        <w:spacing w:line="56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3FF70561">
      <w:pPr>
        <w:spacing w:line="560" w:lineRule="exact"/>
        <w:ind w:firstLine="640" w:firstLineChars="200"/>
        <w:rPr>
          <w:rFonts w:ascii="仿宋_GB2312" w:eastAsia="仿宋_GB2312"/>
          <w:sz w:val="32"/>
          <w:szCs w:val="32"/>
        </w:rPr>
      </w:pPr>
      <w:r>
        <w:rPr>
          <w:rFonts w:hint="eastAsia" w:ascii="仿宋_GB2312" w:eastAsia="仿宋_GB2312"/>
          <w:sz w:val="32"/>
          <w:szCs w:val="32"/>
        </w:rPr>
        <w:t>落实《知识产权强国建设纲要（2021-2035）》和国家知识产权局开展知识产权强国建设示范创建工作要求，推动我市国家知识产权服务业高质量集聚发展示范区建设。</w:t>
      </w:r>
    </w:p>
    <w:p w14:paraId="02962C5D">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5630A242">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申报单位应为开展国家知识产权服务业高质量集聚发展示范区建设的园区。   </w:t>
      </w:r>
    </w:p>
    <w:p w14:paraId="22CD99D8">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4493B21C">
      <w:pPr>
        <w:spacing w:line="560" w:lineRule="exact"/>
        <w:ind w:firstLine="640" w:firstLineChars="200"/>
        <w:rPr>
          <w:rFonts w:ascii="仿宋_GB2312" w:eastAsia="仿宋_GB2312"/>
          <w:sz w:val="32"/>
          <w:szCs w:val="32"/>
        </w:rPr>
      </w:pPr>
      <w:r>
        <w:rPr>
          <w:rFonts w:hint="eastAsia" w:ascii="仿宋_GB2312" w:eastAsia="仿宋_GB2312"/>
          <w:sz w:val="32"/>
          <w:szCs w:val="32"/>
        </w:rPr>
        <w:t>按照国家知识产权服务业高质量集聚发展示范区建设相关要求，推动开展以下工作：</w:t>
      </w:r>
    </w:p>
    <w:p w14:paraId="7124B050">
      <w:pPr>
        <w:spacing w:line="560" w:lineRule="exact"/>
        <w:ind w:firstLine="640" w:firstLineChars="200"/>
        <w:rPr>
          <w:rFonts w:ascii="仿宋_GB2312" w:eastAsia="仿宋_GB2312"/>
          <w:sz w:val="32"/>
          <w:szCs w:val="32"/>
        </w:rPr>
      </w:pPr>
      <w:r>
        <w:rPr>
          <w:rFonts w:hint="eastAsia" w:ascii="仿宋_GB2312" w:eastAsia="仿宋_GB2312"/>
          <w:sz w:val="32"/>
          <w:szCs w:val="32"/>
        </w:rPr>
        <w:t>（1）整合各类优质知识产权服务资源，综合利用线上、线下多种方式，打造“一站式”知识产权服务集聚载体</w:t>
      </w:r>
      <w:r>
        <w:rPr>
          <w:rFonts w:ascii="仿宋_GB2312" w:eastAsia="仿宋_GB2312"/>
          <w:sz w:val="32"/>
          <w:szCs w:val="32"/>
        </w:rPr>
        <w:t>。</w:t>
      </w:r>
    </w:p>
    <w:p w14:paraId="278CEC98">
      <w:pPr>
        <w:spacing w:line="560" w:lineRule="exact"/>
        <w:ind w:firstLine="640" w:firstLineChars="200"/>
        <w:rPr>
          <w:rFonts w:ascii="仿宋_GB2312" w:eastAsia="仿宋_GB2312"/>
          <w:sz w:val="32"/>
          <w:szCs w:val="32"/>
        </w:rPr>
      </w:pPr>
      <w:r>
        <w:rPr>
          <w:rFonts w:hint="eastAsia" w:ascii="仿宋_GB2312" w:eastAsia="仿宋_GB2312"/>
          <w:sz w:val="32"/>
          <w:szCs w:val="32"/>
        </w:rPr>
        <w:t>（2）制定并向社会公布实施区域知识产权服务品牌标准规范，打造知识产权服务区域品牌</w:t>
      </w:r>
      <w:r>
        <w:rPr>
          <w:rFonts w:ascii="仿宋_GB2312" w:eastAsia="仿宋_GB2312"/>
          <w:sz w:val="32"/>
          <w:szCs w:val="32"/>
        </w:rPr>
        <w:t>。</w:t>
      </w:r>
    </w:p>
    <w:p w14:paraId="645D3CB0">
      <w:pPr>
        <w:spacing w:line="560" w:lineRule="exact"/>
        <w:ind w:firstLine="640" w:firstLineChars="200"/>
        <w:rPr>
          <w:rFonts w:ascii="仿宋_GB2312" w:eastAsia="仿宋_GB2312"/>
          <w:sz w:val="32"/>
          <w:szCs w:val="32"/>
        </w:rPr>
      </w:pPr>
      <w:r>
        <w:rPr>
          <w:rFonts w:hint="eastAsia" w:ascii="仿宋_GB2312" w:eastAsia="仿宋_GB2312"/>
          <w:sz w:val="32"/>
          <w:szCs w:val="32"/>
        </w:rPr>
        <w:t>（3）健全市场化知识产权服务生态，完善供需对接机制，推动知识产权服务深度融入产业创新发展</w:t>
      </w:r>
      <w:r>
        <w:rPr>
          <w:rFonts w:ascii="仿宋_GB2312" w:eastAsia="仿宋_GB2312"/>
          <w:sz w:val="32"/>
          <w:szCs w:val="32"/>
        </w:rPr>
        <w:t>。</w:t>
      </w:r>
    </w:p>
    <w:p w14:paraId="67EE11FD">
      <w:pPr>
        <w:spacing w:line="560" w:lineRule="exact"/>
        <w:ind w:firstLine="640" w:firstLineChars="200"/>
        <w:rPr>
          <w:rFonts w:ascii="仿宋_GB2312" w:eastAsia="仿宋_GB2312"/>
          <w:sz w:val="32"/>
          <w:szCs w:val="32"/>
        </w:rPr>
      </w:pPr>
      <w:r>
        <w:rPr>
          <w:rFonts w:hint="eastAsia" w:ascii="仿宋_GB2312" w:eastAsia="仿宋_GB2312"/>
          <w:sz w:val="32"/>
          <w:szCs w:val="32"/>
        </w:rPr>
        <w:t>（4）建立集聚区入驻服务机构准入和退出动态监测管理机制，探索促进知识产权服务业创新发展的新机制、新途径</w:t>
      </w:r>
      <w:r>
        <w:rPr>
          <w:rFonts w:ascii="仿宋_GB2312" w:eastAsia="仿宋_GB2312"/>
          <w:sz w:val="32"/>
          <w:szCs w:val="32"/>
        </w:rPr>
        <w:t>。</w:t>
      </w:r>
    </w:p>
    <w:p w14:paraId="3334FFE3">
      <w:pPr>
        <w:spacing w:line="560" w:lineRule="exact"/>
        <w:ind w:firstLine="640" w:firstLineChars="200"/>
        <w:rPr>
          <w:rFonts w:ascii="仿宋_GB2312" w:eastAsia="仿宋_GB2312"/>
          <w:sz w:val="32"/>
          <w:szCs w:val="32"/>
        </w:rPr>
      </w:pPr>
      <w:r>
        <w:rPr>
          <w:rFonts w:hint="eastAsia" w:ascii="仿宋_GB2312" w:eastAsia="仿宋_GB2312"/>
          <w:sz w:val="32"/>
          <w:szCs w:val="32"/>
        </w:rPr>
        <w:t>（5）加强服务品牌宣传展示，持续提升知识产权代理、法律、信息、咨询、运营等服务专业化和国际化水平，开展培训服务对接活动。</w:t>
      </w:r>
    </w:p>
    <w:p w14:paraId="13496D4D">
      <w:pPr>
        <w:spacing w:line="560" w:lineRule="exact"/>
        <w:ind w:firstLine="640" w:firstLineChars="200"/>
        <w:rPr>
          <w:rFonts w:ascii="仿宋_GB2312" w:eastAsia="仿宋_GB2312"/>
          <w:sz w:val="32"/>
          <w:szCs w:val="32"/>
        </w:rPr>
      </w:pPr>
      <w:r>
        <w:rPr>
          <w:rFonts w:hint="eastAsia" w:ascii="仿宋_GB2312" w:eastAsia="仿宋_GB2312"/>
          <w:sz w:val="32"/>
          <w:szCs w:val="32"/>
        </w:rPr>
        <w:t>（6）按季度向项目主管处室报送项目实施成效、典型案例等信息和建议。</w:t>
      </w:r>
    </w:p>
    <w:p w14:paraId="02F2E18B">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r>
        <w:rPr>
          <w:rFonts w:hint="eastAsia" w:ascii="仿宋_GB2312" w:eastAsia="仿宋_GB2312"/>
          <w:sz w:val="32"/>
          <w:szCs w:val="32"/>
        </w:rPr>
        <w:tab/>
      </w:r>
    </w:p>
    <w:p w14:paraId="3AC3384F">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择优确定1个资助项目，项目资助金额不超过10万元，项目周期1年。</w:t>
      </w:r>
    </w:p>
    <w:p w14:paraId="6E540BFC">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项目咨询人：张军；咨询电话：23039857</w:t>
      </w:r>
    </w:p>
    <w:p w14:paraId="295CB8DC">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（二）支持方向2：知识产权信息服务能力提升</w:t>
      </w:r>
    </w:p>
    <w:p w14:paraId="652CA291">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7C657BEC">
      <w:pPr>
        <w:spacing w:line="560" w:lineRule="exact"/>
        <w:ind w:firstLine="640" w:firstLineChars="200"/>
        <w:rPr>
          <w:rFonts w:ascii="仿宋_GB2312" w:eastAsia="仿宋_GB2312"/>
          <w:sz w:val="32"/>
          <w:szCs w:val="32"/>
        </w:rPr>
      </w:pPr>
      <w:r>
        <w:rPr>
          <w:rFonts w:hint="eastAsia" w:ascii="仿宋_GB2312" w:eastAsia="仿宋_GB2312"/>
          <w:sz w:val="32"/>
          <w:szCs w:val="32"/>
        </w:rPr>
        <w:t>推动全市国家级知识产权公共服务机构强化服务深度、拓展服务广度、提升服务效能。支持公共服务机构开展专业化知识产权信息深度挖掘与分析，产出具有决策参考价值的高水平成果，形成可复制、可推广的典型服务模式，更好服务创新主体高质量发展。</w:t>
      </w:r>
    </w:p>
    <w:p w14:paraId="5C501879">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07C7D106">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为国家级知识产权信息公共服务机构，包括：技术与创新支持中心（TISC）、高校国家知识产权信息服务中心、国家知识产权信息公共服务网点。在过去两年内有为创新主体提供专利信息服务的典型成功案例。</w:t>
      </w:r>
    </w:p>
    <w:p w14:paraId="17AA7859">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01D7A569">
      <w:pPr>
        <w:spacing w:line="560" w:lineRule="exact"/>
        <w:ind w:firstLine="640" w:firstLineChars="200"/>
        <w:rPr>
          <w:rFonts w:ascii="仿宋_GB2312" w:eastAsia="仿宋_GB2312"/>
          <w:sz w:val="32"/>
          <w:szCs w:val="32"/>
        </w:rPr>
      </w:pPr>
      <w:r>
        <w:rPr>
          <w:rFonts w:hint="eastAsia" w:ascii="仿宋_GB2312" w:eastAsia="仿宋_GB2312"/>
          <w:sz w:val="32"/>
          <w:szCs w:val="32"/>
        </w:rPr>
        <w:t>（1）深化专利分析服务，发挥专利信息检索分析优势，围绕我市战略性新兴产业、未来产业或某一重点技术领域，完成2篇以上具有较高深度和专业水准的专利检索分析报告。</w:t>
      </w:r>
    </w:p>
    <w:p w14:paraId="48F14DAA">
      <w:pPr>
        <w:spacing w:line="560" w:lineRule="exact"/>
        <w:ind w:firstLine="640" w:firstLineChars="200"/>
        <w:rPr>
          <w:rFonts w:ascii="仿宋_GB2312" w:eastAsia="仿宋_GB2312"/>
          <w:sz w:val="32"/>
          <w:szCs w:val="32"/>
        </w:rPr>
      </w:pPr>
      <w:r>
        <w:rPr>
          <w:rFonts w:hint="eastAsia" w:ascii="仿宋_GB2312" w:eastAsia="仿宋_GB2312"/>
          <w:sz w:val="32"/>
          <w:szCs w:val="32"/>
        </w:rPr>
        <w:t>（2）加强对创新主体精准服务，基于服务创新主体实际，形成不少于2个高质量知识产权信息服务典型案例。案例应具备示范性、代表性和借鉴意义，能够展现服务机构能力与专业价值。</w:t>
      </w:r>
    </w:p>
    <w:p w14:paraId="6C3D4627">
      <w:pPr>
        <w:spacing w:line="560" w:lineRule="exact"/>
        <w:ind w:firstLine="640" w:firstLineChars="200"/>
        <w:rPr>
          <w:rFonts w:ascii="仿宋_GB2312" w:eastAsia="仿宋_GB2312"/>
          <w:sz w:val="32"/>
          <w:szCs w:val="32"/>
        </w:rPr>
      </w:pPr>
      <w:r>
        <w:rPr>
          <w:rFonts w:hint="eastAsia" w:ascii="仿宋_GB2312" w:eastAsia="仿宋_GB2312"/>
          <w:sz w:val="32"/>
          <w:szCs w:val="32"/>
        </w:rPr>
        <w:t>（3）每季度向项目主管处室报送项目实施成效、典型案例等信息或建议。</w:t>
      </w:r>
    </w:p>
    <w:p w14:paraId="05B93D62">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2E748BC7">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择优确定不超过10个资助项目，每个项目资助金额不超过3.6万元，项目周期1年。</w:t>
      </w:r>
    </w:p>
    <w:p w14:paraId="48232D74">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项目咨询人：张硕；咨询电话：23039897</w:t>
      </w:r>
    </w:p>
    <w:p w14:paraId="0893A505">
      <w:pPr>
        <w:spacing w:line="600" w:lineRule="exact"/>
        <w:ind w:firstLine="643" w:firstLineChars="200"/>
        <w:rPr>
          <w:rFonts w:ascii="仿宋_GB2312" w:eastAsia="仿宋_GB2312"/>
          <w:sz w:val="32"/>
          <w:szCs w:val="32"/>
        </w:rPr>
      </w:pPr>
      <w:r>
        <w:rPr>
          <w:rFonts w:hint="eastAsia" w:ascii="仿宋_GB2312" w:eastAsia="仿宋_GB2312"/>
          <w:b/>
          <w:bCs/>
          <w:sz w:val="32"/>
          <w:szCs w:val="32"/>
        </w:rPr>
        <w:t>（三）支持方向3：知识产权公共服务普惠</w:t>
      </w:r>
    </w:p>
    <w:p w14:paraId="232E572F">
      <w:pPr>
        <w:spacing w:line="56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43D3598D">
      <w:pPr>
        <w:spacing w:line="560" w:lineRule="exact"/>
        <w:ind w:firstLine="640" w:firstLineChars="200"/>
        <w:rPr>
          <w:rFonts w:ascii="仿宋_GB2312" w:eastAsia="仿宋_GB2312"/>
          <w:sz w:val="32"/>
          <w:szCs w:val="32"/>
        </w:rPr>
      </w:pPr>
      <w:r>
        <w:rPr>
          <w:rFonts w:hint="eastAsia" w:ascii="仿宋_GB2312" w:eastAsia="仿宋_GB2312"/>
          <w:sz w:val="32"/>
          <w:szCs w:val="32"/>
        </w:rPr>
        <w:t>宣传知识产权政策，普及知识产权信息利用的基本知识和基本技能，增强创新主体获得知识产权公共服务的便利度，助力高质量发展。</w:t>
      </w:r>
    </w:p>
    <w:p w14:paraId="1E1F47E6">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3115F595">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申报单位应为区级综合性知识产权公共服务站，拥有专职专利信息服务工作团队，具有一定规模的中小企业服务受众群体。</w:t>
      </w:r>
    </w:p>
    <w:p w14:paraId="327B235B">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390825D0">
      <w:pPr>
        <w:spacing w:line="560" w:lineRule="exact"/>
        <w:ind w:firstLine="640" w:firstLineChars="200"/>
        <w:rPr>
          <w:rFonts w:ascii="仿宋_GB2312" w:eastAsia="仿宋_GB2312"/>
          <w:sz w:val="32"/>
          <w:szCs w:val="32"/>
        </w:rPr>
      </w:pPr>
      <w:r>
        <w:rPr>
          <w:rFonts w:hint="eastAsia" w:ascii="仿宋_GB2312" w:eastAsia="仿宋_GB2312"/>
          <w:sz w:val="32"/>
          <w:szCs w:val="32"/>
        </w:rPr>
        <w:t>（1）面向本区域内各类创新主体和社会公众提供知识产权相关咨询等。</w:t>
      </w:r>
    </w:p>
    <w:p w14:paraId="089F688B">
      <w:pPr>
        <w:spacing w:line="560" w:lineRule="exact"/>
        <w:ind w:firstLine="640" w:firstLineChars="200"/>
        <w:rPr>
          <w:rFonts w:ascii="仿宋_GB2312" w:eastAsia="仿宋_GB2312"/>
          <w:sz w:val="32"/>
          <w:szCs w:val="32"/>
        </w:rPr>
      </w:pPr>
      <w:r>
        <w:rPr>
          <w:rFonts w:hint="eastAsia" w:ascii="仿宋_GB2312" w:eastAsia="仿宋_GB2312"/>
          <w:sz w:val="32"/>
          <w:szCs w:val="32"/>
        </w:rPr>
        <w:t>（2）开展知识产权信息基础培训等，普及知识产权信息利用的基本知识和基本技能。项目期内开展相关培训不少于2期。</w:t>
      </w:r>
    </w:p>
    <w:p w14:paraId="667A5703">
      <w:pPr>
        <w:spacing w:line="560" w:lineRule="exact"/>
        <w:ind w:firstLine="640" w:firstLineChars="200"/>
        <w:rPr>
          <w:rFonts w:ascii="仿宋_GB2312" w:eastAsia="仿宋_GB2312"/>
          <w:sz w:val="32"/>
          <w:szCs w:val="32"/>
        </w:rPr>
      </w:pPr>
      <w:r>
        <w:rPr>
          <w:rFonts w:hint="eastAsia" w:ascii="仿宋_GB2312" w:eastAsia="仿宋_GB2312"/>
          <w:sz w:val="32"/>
          <w:szCs w:val="32"/>
        </w:rPr>
        <w:t>（3）项目期内面向各类园区创新主体，开展不少于2次知识产权信息宣传宣讲活动。</w:t>
      </w:r>
    </w:p>
    <w:p w14:paraId="7E6908F8">
      <w:pPr>
        <w:spacing w:line="560" w:lineRule="exact"/>
        <w:ind w:firstLine="640" w:firstLineChars="200"/>
        <w:rPr>
          <w:rFonts w:ascii="仿宋_GB2312" w:eastAsia="仿宋_GB2312"/>
          <w:sz w:val="32"/>
          <w:szCs w:val="32"/>
        </w:rPr>
      </w:pPr>
      <w:r>
        <w:rPr>
          <w:rFonts w:hint="eastAsia" w:ascii="仿宋_GB2312" w:eastAsia="仿宋_GB2312"/>
          <w:sz w:val="32"/>
          <w:szCs w:val="32"/>
        </w:rPr>
        <w:t>（4）每季度向项目主管处室报送项目实施成效、典型案例等信息或建议。</w:t>
      </w:r>
    </w:p>
    <w:p w14:paraId="1E8A0E1A">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314BC69A">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择优确定不超过5个资助项目，每个项目资助金额不超过2万元。项目周期1年。</w:t>
      </w:r>
    </w:p>
    <w:p w14:paraId="430EBC8A">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项目咨询人：张硕；咨询电话：23039897</w:t>
      </w:r>
    </w:p>
    <w:p w14:paraId="2763D59F">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（四）支持方向4：数据知识产权</w:t>
      </w:r>
    </w:p>
    <w:p w14:paraId="3C070649">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7488E9F8">
      <w:pPr>
        <w:spacing w:line="560" w:lineRule="exact"/>
        <w:ind w:firstLine="640" w:firstLineChars="200"/>
        <w:rPr>
          <w:rFonts w:ascii="仿宋_GB2312" w:eastAsia="仿宋_GB2312"/>
          <w:sz w:val="32"/>
          <w:szCs w:val="32"/>
        </w:rPr>
      </w:pPr>
      <w:r>
        <w:rPr>
          <w:rFonts w:hint="eastAsia" w:ascii="仿宋_GB2312" w:eastAsia="仿宋_GB2312"/>
          <w:sz w:val="32"/>
          <w:szCs w:val="32"/>
        </w:rPr>
        <w:t>深化数据知识产权地方试点工作，构建契合天津发展实际的数据知识产权服务体系，有效保护数据创新成果，激发市场主体活力，促进数据要素价值释放，助力数字经济高质量发展。</w:t>
      </w:r>
    </w:p>
    <w:p w14:paraId="4384CBED">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58900E40">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申报单位应具备固定的经营场所及开展数据知识产权服务的软硬件设施。项目团队拥有数据知识产权领域工作经验，并具备项目实施的专业能力。</w:t>
      </w:r>
    </w:p>
    <w:p w14:paraId="297F8E35">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1D7F62BE">
      <w:pPr>
        <w:spacing w:line="560" w:lineRule="exact"/>
        <w:ind w:firstLine="640" w:firstLineChars="200"/>
        <w:rPr>
          <w:rFonts w:ascii="仿宋_GB2312" w:eastAsia="仿宋_GB2312"/>
          <w:sz w:val="32"/>
          <w:szCs w:val="32"/>
        </w:rPr>
      </w:pPr>
      <w:r>
        <w:rPr>
          <w:rFonts w:hint="eastAsia" w:ascii="仿宋_GB2312" w:eastAsia="仿宋_GB2312"/>
          <w:sz w:val="32"/>
          <w:szCs w:val="32"/>
        </w:rPr>
        <w:t>（1）制定《天津市数据知识产权工作指引》。立足本市实际，围绕数据知识产权的登记、评估、运用等环节，形成一套规范化、标准化操作手册。</w:t>
      </w:r>
    </w:p>
    <w:p w14:paraId="3AFBE48C">
      <w:pPr>
        <w:spacing w:line="560" w:lineRule="exact"/>
        <w:ind w:firstLine="640" w:firstLineChars="200"/>
        <w:rPr>
          <w:rFonts w:ascii="仿宋_GB2312" w:eastAsia="仿宋_GB2312"/>
          <w:sz w:val="32"/>
          <w:szCs w:val="32"/>
        </w:rPr>
      </w:pPr>
      <w:r>
        <w:rPr>
          <w:rFonts w:hint="eastAsia" w:ascii="仿宋_GB2312" w:eastAsia="仿宋_GB2312"/>
          <w:sz w:val="32"/>
          <w:szCs w:val="32"/>
        </w:rPr>
        <w:t>（2）探索开展数据知识产权登记公示、转化交易、融资质押、政策宣传等服务，搭建便捷的数据知识产权线上服务平台和线下服务窗口。</w:t>
      </w:r>
    </w:p>
    <w:p w14:paraId="6C7B9A4F">
      <w:pPr>
        <w:spacing w:line="560" w:lineRule="exact"/>
        <w:ind w:firstLine="640" w:firstLineChars="200"/>
        <w:rPr>
          <w:rFonts w:ascii="仿宋_GB2312" w:eastAsia="仿宋_GB2312"/>
          <w:sz w:val="32"/>
          <w:szCs w:val="32"/>
        </w:rPr>
      </w:pPr>
      <w:r>
        <w:rPr>
          <w:rFonts w:hint="eastAsia" w:ascii="仿宋_GB2312" w:eastAsia="仿宋_GB2312"/>
          <w:sz w:val="32"/>
          <w:szCs w:val="32"/>
        </w:rPr>
        <w:t>（3）探索数据知识产权登记证书在数据资产入表、质押融资、证券化、交易流通等场景中的应用路径，形成至少1个典型案例。</w:t>
      </w:r>
    </w:p>
    <w:p w14:paraId="5CDBC587">
      <w:pPr>
        <w:spacing w:line="560" w:lineRule="exact"/>
        <w:ind w:firstLine="640" w:firstLineChars="200"/>
        <w:rPr>
          <w:rFonts w:ascii="仿宋_GB2312" w:eastAsia="仿宋_GB2312"/>
          <w:sz w:val="32"/>
          <w:szCs w:val="32"/>
        </w:rPr>
      </w:pPr>
      <w:r>
        <w:rPr>
          <w:rFonts w:hint="eastAsia" w:ascii="仿宋_GB2312" w:eastAsia="仿宋_GB2312"/>
          <w:sz w:val="32"/>
          <w:szCs w:val="32"/>
        </w:rPr>
        <w:t>（4）开展数据知识产权人才培养。组织召开不少于2场数据知识产权专题培训会，累计培训创新主体不少于50家。</w:t>
      </w:r>
    </w:p>
    <w:p w14:paraId="7635BD8E">
      <w:pPr>
        <w:spacing w:line="560" w:lineRule="exact"/>
        <w:ind w:firstLine="640" w:firstLineChars="200"/>
        <w:rPr>
          <w:rFonts w:ascii="仿宋_GB2312" w:eastAsia="仿宋_GB2312"/>
          <w:sz w:val="32"/>
          <w:szCs w:val="32"/>
        </w:rPr>
      </w:pPr>
      <w:r>
        <w:rPr>
          <w:rFonts w:hint="eastAsia" w:ascii="仿宋_GB2312" w:eastAsia="仿宋_GB2312"/>
          <w:sz w:val="32"/>
          <w:szCs w:val="32"/>
        </w:rPr>
        <w:t>（5）每季度向项目主管处室报送项目实施成效、典型案例等信息或建议。</w:t>
      </w:r>
    </w:p>
    <w:p w14:paraId="06B5F7E9">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0DF45AEC">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择优确定1个资助项目，项目资助金额不超过15万元，项目周期1年。</w:t>
      </w:r>
    </w:p>
    <w:p w14:paraId="7250C8D4">
      <w:pPr>
        <w:spacing w:line="560" w:lineRule="exact"/>
        <w:ind w:firstLine="640" w:firstLineChars="200"/>
        <w:rPr>
          <w:rFonts w:ascii="仿宋_GB2312" w:eastAsia="仿宋_GB2312"/>
          <w:sz w:val="32"/>
          <w:szCs w:val="32"/>
        </w:rPr>
      </w:pPr>
      <w:r>
        <w:rPr>
          <w:rFonts w:hint="eastAsia" w:ascii="仿宋_GB2312" w:eastAsia="仿宋_GB2312"/>
          <w:sz w:val="32"/>
          <w:szCs w:val="32"/>
        </w:rPr>
        <w:t>项目咨询人：张硕；咨询电话：23039897</w:t>
      </w:r>
    </w:p>
    <w:p w14:paraId="20355698">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（五）支持方向5：支撑关键核心技术攻关</w:t>
      </w:r>
    </w:p>
    <w:p w14:paraId="3947B626">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1.项目目标 </w:t>
      </w:r>
    </w:p>
    <w:p w14:paraId="0F239ABC">
      <w:pPr>
        <w:spacing w:line="560" w:lineRule="exact"/>
        <w:ind w:firstLine="640" w:firstLineChars="200"/>
        <w:rPr>
          <w:rFonts w:ascii="仿宋_GB2312" w:eastAsia="仿宋_GB2312"/>
          <w:sz w:val="32"/>
          <w:szCs w:val="32"/>
        </w:rPr>
      </w:pPr>
      <w:r>
        <w:rPr>
          <w:rFonts w:hint="eastAsia" w:ascii="仿宋_GB2312" w:eastAsia="仿宋_GB2312"/>
          <w:sz w:val="32"/>
          <w:szCs w:val="32"/>
        </w:rPr>
        <w:t>围绕服务我市重点产业链创新发展，利用知识产权公共服务优势资源，形成对重点技术领域科技攻关、成果保护、产业化应用的一体化支撑，助力高水平科技自立自强和新质生产力发展。</w:t>
      </w:r>
    </w:p>
    <w:p w14:paraId="63F3EA59">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1F72402F">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申报单位应具备国家级专利导航服务机构资质、具有丰富的相关领域的专利分析工作经验。</w:t>
      </w:r>
    </w:p>
    <w:p w14:paraId="7D151B78">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2DCBC6FA">
      <w:pPr>
        <w:spacing w:line="560" w:lineRule="exact"/>
        <w:ind w:firstLine="640" w:firstLineChars="200"/>
        <w:rPr>
          <w:rFonts w:ascii="仿宋_GB2312" w:eastAsia="仿宋_GB2312"/>
          <w:sz w:val="32"/>
          <w:szCs w:val="32"/>
        </w:rPr>
      </w:pPr>
      <w:r>
        <w:rPr>
          <w:rFonts w:hint="eastAsia" w:ascii="仿宋_GB2312" w:eastAsia="仿宋_GB2312"/>
          <w:sz w:val="32"/>
          <w:szCs w:val="32"/>
        </w:rPr>
        <w:t>（1）选择一家国家实验室、国家科研机构、高水平研究机构、科技领军企业等国家战略科技力量作为服务对象，立足于服务对象的发展阶段和实际要求，开展知识产权信息分析和专利导航，精准开展信息服务，助力服务对象关键核心技术攻关。</w:t>
      </w:r>
    </w:p>
    <w:p w14:paraId="7D9D2C60">
      <w:pPr>
        <w:spacing w:line="560" w:lineRule="exact"/>
        <w:ind w:firstLine="640" w:firstLineChars="200"/>
        <w:rPr>
          <w:rFonts w:ascii="仿宋_GB2312" w:eastAsia="仿宋_GB2312"/>
          <w:sz w:val="32"/>
          <w:szCs w:val="32"/>
        </w:rPr>
      </w:pPr>
      <w:r>
        <w:rPr>
          <w:rFonts w:hint="eastAsia" w:ascii="仿宋_GB2312" w:eastAsia="仿宋_GB2312"/>
          <w:sz w:val="32"/>
          <w:szCs w:val="32"/>
        </w:rPr>
        <w:t>（2）通过实施精准、有效的服务，形成知识产权公共服务助力企业解决关键核心技术攻关的案例，总结服务成效，提出完善服务机制的建议。</w:t>
      </w:r>
    </w:p>
    <w:p w14:paraId="11BC4AA0">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7F879764">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择优确定1个资助项目，项目资助金额不超过10万元，项目周期1年。</w:t>
      </w:r>
    </w:p>
    <w:p w14:paraId="0FC7CB2C">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项目咨询人：王琳；咨询电话：83718188  </w:t>
      </w:r>
    </w:p>
    <w:p w14:paraId="7ECA0390">
      <w:pPr>
        <w:spacing w:line="700" w:lineRule="exact"/>
        <w:ind w:firstLine="643" w:firstLineChars="200"/>
        <w:rPr>
          <w:rFonts w:ascii="仿宋_GB2312" w:eastAsia="仿宋_GB2312"/>
          <w:b/>
          <w:bCs/>
          <w:sz w:val="32"/>
          <w:szCs w:val="32"/>
        </w:rPr>
      </w:pPr>
      <w:r>
        <w:rPr>
          <w:rFonts w:hint="eastAsia" w:ascii="仿宋_GB2312" w:eastAsia="仿宋_GB2312"/>
          <w:b/>
          <w:bCs/>
          <w:sz w:val="32"/>
          <w:szCs w:val="32"/>
        </w:rPr>
        <w:t>（六）支持方向6：知识产权公共服务标准化</w:t>
      </w:r>
    </w:p>
    <w:p w14:paraId="26F7AE70">
      <w:pPr>
        <w:spacing w:line="560" w:lineRule="exact"/>
        <w:ind w:firstLine="640" w:firstLineChars="200"/>
        <w:rPr>
          <w:rFonts w:ascii="仿宋_GB2312" w:eastAsia="仿宋_GB2312"/>
          <w:sz w:val="32"/>
          <w:szCs w:val="32"/>
        </w:rPr>
      </w:pPr>
      <w:r>
        <w:rPr>
          <w:rFonts w:hint="eastAsia" w:ascii="仿宋_GB2312" w:eastAsia="仿宋_GB2312"/>
          <w:sz w:val="32"/>
          <w:szCs w:val="32"/>
        </w:rPr>
        <w:t>1.项目目标</w:t>
      </w:r>
    </w:p>
    <w:p w14:paraId="06EBD3BC">
      <w:pPr>
        <w:spacing w:line="560" w:lineRule="exact"/>
        <w:ind w:firstLine="640" w:firstLineChars="200"/>
        <w:rPr>
          <w:rFonts w:ascii="仿宋_GB2312" w:eastAsia="仿宋_GB2312"/>
          <w:sz w:val="32"/>
          <w:szCs w:val="32"/>
        </w:rPr>
      </w:pPr>
      <w:r>
        <w:rPr>
          <w:rFonts w:hint="eastAsia" w:ascii="仿宋_GB2312" w:eastAsia="仿宋_GB2312"/>
          <w:sz w:val="32"/>
          <w:szCs w:val="32"/>
        </w:rPr>
        <w:t>推进知识产权公共服务制度模式标准化、推进知识产权公共服务办事程序便利化，深化开展知识产权公共服务惠企行动，助力企业创新发展，全面提升我市知识产权公共服务水平。</w:t>
      </w:r>
    </w:p>
    <w:p w14:paraId="20268CFE">
      <w:pPr>
        <w:spacing w:line="560" w:lineRule="exact"/>
        <w:ind w:firstLine="640" w:firstLineChars="200"/>
        <w:rPr>
          <w:rFonts w:ascii="仿宋_GB2312" w:eastAsia="仿宋_GB2312"/>
          <w:sz w:val="32"/>
          <w:szCs w:val="32"/>
        </w:rPr>
      </w:pPr>
      <w:r>
        <w:rPr>
          <w:rFonts w:hint="eastAsia" w:ascii="仿宋_GB2312" w:eastAsia="仿宋_GB2312"/>
          <w:sz w:val="32"/>
          <w:szCs w:val="32"/>
        </w:rPr>
        <w:t>2.申报条件</w:t>
      </w:r>
    </w:p>
    <w:p w14:paraId="01FBC0DF">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申报单位应具有丰富的知识产权公共服务理论研究能力和实践经验。</w:t>
      </w:r>
    </w:p>
    <w:p w14:paraId="3222E143">
      <w:pPr>
        <w:spacing w:line="560" w:lineRule="exact"/>
        <w:ind w:firstLine="640" w:firstLineChars="200"/>
        <w:rPr>
          <w:rFonts w:ascii="仿宋_GB2312" w:eastAsia="仿宋_GB2312"/>
          <w:sz w:val="32"/>
          <w:szCs w:val="32"/>
        </w:rPr>
      </w:pPr>
      <w:r>
        <w:rPr>
          <w:rFonts w:hint="eastAsia" w:ascii="仿宋_GB2312" w:eastAsia="仿宋_GB2312"/>
          <w:sz w:val="32"/>
          <w:szCs w:val="32"/>
        </w:rPr>
        <w:t>3.项目任务</w:t>
      </w:r>
    </w:p>
    <w:p w14:paraId="7F288E4C">
      <w:pPr>
        <w:spacing w:line="560" w:lineRule="exact"/>
        <w:ind w:firstLine="640" w:firstLineChars="200"/>
        <w:rPr>
          <w:rFonts w:ascii="仿宋_GB2312" w:eastAsia="仿宋_GB2312"/>
          <w:sz w:val="32"/>
          <w:szCs w:val="32"/>
        </w:rPr>
      </w:pPr>
      <w:r>
        <w:rPr>
          <w:rFonts w:hint="eastAsia" w:ascii="仿宋_GB2312" w:eastAsia="仿宋_GB2312"/>
          <w:sz w:val="32"/>
          <w:szCs w:val="32"/>
        </w:rPr>
        <w:t>（1）推进知识产权公共服务制度化建设。编制发布知识产权公共服务事项清单（第三版），为我市创新主体和社会公众提供更多、更有效的服务支撑。</w:t>
      </w:r>
    </w:p>
    <w:p w14:paraId="51E7EAFA">
      <w:pPr>
        <w:spacing w:line="560" w:lineRule="exact"/>
        <w:ind w:firstLine="640" w:firstLineChars="200"/>
        <w:rPr>
          <w:rFonts w:ascii="仿宋_GB2312" w:eastAsia="仿宋_GB2312"/>
          <w:sz w:val="32"/>
          <w:szCs w:val="32"/>
        </w:rPr>
      </w:pPr>
      <w:r>
        <w:rPr>
          <w:rFonts w:hint="eastAsia" w:ascii="仿宋_GB2312" w:eastAsia="仿宋_GB2312"/>
          <w:sz w:val="32"/>
          <w:szCs w:val="32"/>
        </w:rPr>
        <w:t>（2）推进知识产权公共服务便利化建设。优化知识产权业务办理流程，推动知识产权业务集成办理。优化知识产权服务机制，提升知识产权公共服务便利度。</w:t>
      </w:r>
    </w:p>
    <w:p w14:paraId="492E4BEA">
      <w:pPr>
        <w:spacing w:line="560" w:lineRule="exact"/>
        <w:ind w:firstLine="640" w:firstLineChars="200"/>
        <w:rPr>
          <w:rFonts w:ascii="仿宋_GB2312" w:eastAsia="仿宋_GB2312"/>
          <w:sz w:val="32"/>
          <w:szCs w:val="32"/>
        </w:rPr>
      </w:pPr>
      <w:r>
        <w:rPr>
          <w:rFonts w:hint="eastAsia" w:ascii="仿宋_GB2312" w:eastAsia="仿宋_GB2312"/>
          <w:sz w:val="32"/>
          <w:szCs w:val="32"/>
        </w:rPr>
        <w:t>（3）开展知识产权公共服务惠企行动。对接创新型企业、民营企业、中小企业，摸清企业知识产权服务需求，实行服务需求清单化管理，挖掘企业知识产权公共服务需求，形成有效知识产权公共服务供需机制。</w:t>
      </w:r>
    </w:p>
    <w:p w14:paraId="10233AB5">
      <w:pPr>
        <w:spacing w:line="560" w:lineRule="exact"/>
        <w:ind w:firstLine="640" w:firstLineChars="200"/>
        <w:rPr>
          <w:rFonts w:ascii="仿宋_GB2312" w:eastAsia="仿宋_GB2312"/>
          <w:sz w:val="32"/>
          <w:szCs w:val="32"/>
        </w:rPr>
      </w:pPr>
      <w:r>
        <w:rPr>
          <w:rFonts w:hint="eastAsia" w:ascii="仿宋_GB2312" w:eastAsia="仿宋_GB2312"/>
          <w:sz w:val="32"/>
          <w:szCs w:val="32"/>
        </w:rPr>
        <w:t>4.项目数量及资助额度</w:t>
      </w:r>
    </w:p>
    <w:p w14:paraId="328FFE68">
      <w:pPr>
        <w:spacing w:line="560" w:lineRule="exact"/>
        <w:ind w:firstLine="640" w:firstLineChars="200"/>
        <w:rPr>
          <w:rFonts w:ascii="仿宋_GB2312" w:eastAsia="仿宋_GB2312"/>
          <w:sz w:val="32"/>
          <w:szCs w:val="32"/>
        </w:rPr>
      </w:pPr>
      <w:r>
        <w:rPr>
          <w:rFonts w:hint="eastAsia" w:ascii="仿宋_GB2312" w:eastAsia="仿宋_GB2312"/>
          <w:sz w:val="32"/>
          <w:szCs w:val="32"/>
        </w:rPr>
        <w:t>择优确定1个资助项目，项目资助金额不超过10万元，项目周期1年。</w:t>
      </w:r>
    </w:p>
    <w:p w14:paraId="591FAEA7">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项目咨询人：王琳；咨询电话：83718188 </w:t>
      </w:r>
    </w:p>
    <w:sectPr>
      <w:footerReference r:id="rId3" w:type="default"/>
      <w:footerReference r:id="rId4" w:type="even"/>
      <w:pgSz w:w="11906" w:h="16838"/>
      <w:pgMar w:top="2098" w:right="1474" w:bottom="1984" w:left="1587"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C2226">
    <w:pPr>
      <w:pStyle w:val="12"/>
      <w:ind w:right="360"/>
      <w:jc w:val="right"/>
      <w:rPr>
        <w:rFonts w:ascii="仿宋_GB2312" w:eastAsia="仿宋_GB2312"/>
        <w:sz w:val="28"/>
        <w:szCs w:val="28"/>
      </w:rPr>
    </w:pPr>
    <w:r>
      <w:rPr>
        <w:rStyle w:val="22"/>
        <w:rFonts w:ascii="仿宋_GB2312" w:eastAsia="仿宋_GB2312" w:cs="仿宋_GB2312"/>
        <w:sz w:val="28"/>
        <w:szCs w:val="28"/>
      </w:rPr>
      <w:t xml:space="preserve">- </w:t>
    </w:r>
    <w:r>
      <w:rPr>
        <w:rStyle w:val="22"/>
        <w:rFonts w:ascii="仿宋_GB2312" w:eastAsia="仿宋_GB2312" w:cs="仿宋_GB2312"/>
        <w:sz w:val="28"/>
        <w:szCs w:val="28"/>
      </w:rPr>
      <w:fldChar w:fldCharType="begin"/>
    </w:r>
    <w:r>
      <w:rPr>
        <w:rStyle w:val="22"/>
        <w:rFonts w:ascii="仿宋_GB2312" w:eastAsia="仿宋_GB2312" w:cs="仿宋_GB2312"/>
        <w:sz w:val="28"/>
        <w:szCs w:val="28"/>
      </w:rPr>
      <w:instrText xml:space="preserve"> PAGE </w:instrText>
    </w:r>
    <w:r>
      <w:rPr>
        <w:rStyle w:val="22"/>
        <w:rFonts w:ascii="仿宋_GB2312" w:eastAsia="仿宋_GB2312" w:cs="仿宋_GB2312"/>
        <w:sz w:val="28"/>
        <w:szCs w:val="28"/>
      </w:rPr>
      <w:fldChar w:fldCharType="separate"/>
    </w:r>
    <w:r>
      <w:rPr>
        <w:rStyle w:val="22"/>
        <w:rFonts w:ascii="仿宋_GB2312" w:eastAsia="仿宋_GB2312" w:cs="仿宋_GB2312"/>
        <w:sz w:val="28"/>
        <w:szCs w:val="28"/>
      </w:rPr>
      <w:t>39</w:t>
    </w:r>
    <w:r>
      <w:rPr>
        <w:rStyle w:val="22"/>
        <w:rFonts w:ascii="仿宋_GB2312" w:eastAsia="仿宋_GB2312" w:cs="仿宋_GB2312"/>
        <w:sz w:val="28"/>
        <w:szCs w:val="28"/>
      </w:rPr>
      <w:fldChar w:fldCharType="end"/>
    </w:r>
    <w:r>
      <w:rPr>
        <w:rStyle w:val="22"/>
        <w:rFonts w:ascii="仿宋_GB2312" w:eastAsia="仿宋_GB2312" w:cs="仿宋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5255">
    <w:pPr>
      <w:pStyle w:val="12"/>
      <w:ind w:firstLine="280" w:firstLineChars="100"/>
      <w:rPr>
        <w:rFonts w:ascii="仿宋_GB2312" w:eastAsia="仿宋_GB2312"/>
        <w:sz w:val="28"/>
        <w:szCs w:val="28"/>
      </w:rPr>
    </w:pPr>
    <w:r>
      <w:rPr>
        <w:rStyle w:val="22"/>
        <w:rFonts w:ascii="仿宋_GB2312" w:eastAsia="仿宋_GB2312" w:cs="仿宋_GB2312"/>
        <w:sz w:val="28"/>
        <w:szCs w:val="28"/>
      </w:rPr>
      <w:t xml:space="preserve">- </w:t>
    </w:r>
    <w:r>
      <w:rPr>
        <w:rStyle w:val="22"/>
        <w:rFonts w:ascii="仿宋_GB2312" w:eastAsia="仿宋_GB2312" w:cs="仿宋_GB2312"/>
        <w:sz w:val="28"/>
        <w:szCs w:val="28"/>
      </w:rPr>
      <w:fldChar w:fldCharType="begin"/>
    </w:r>
    <w:r>
      <w:rPr>
        <w:rStyle w:val="22"/>
        <w:rFonts w:ascii="仿宋_GB2312" w:eastAsia="仿宋_GB2312" w:cs="仿宋_GB2312"/>
        <w:sz w:val="28"/>
        <w:szCs w:val="28"/>
      </w:rPr>
      <w:instrText xml:space="preserve"> PAGE </w:instrText>
    </w:r>
    <w:r>
      <w:rPr>
        <w:rStyle w:val="22"/>
        <w:rFonts w:ascii="仿宋_GB2312" w:eastAsia="仿宋_GB2312" w:cs="仿宋_GB2312"/>
        <w:sz w:val="28"/>
        <w:szCs w:val="28"/>
      </w:rPr>
      <w:fldChar w:fldCharType="separate"/>
    </w:r>
    <w:r>
      <w:rPr>
        <w:rStyle w:val="22"/>
        <w:rFonts w:ascii="仿宋_GB2312" w:eastAsia="仿宋_GB2312" w:cs="仿宋_GB2312"/>
        <w:sz w:val="28"/>
        <w:szCs w:val="28"/>
      </w:rPr>
      <w:t>38</w:t>
    </w:r>
    <w:r>
      <w:rPr>
        <w:rStyle w:val="22"/>
        <w:rFonts w:ascii="仿宋_GB2312" w:eastAsia="仿宋_GB2312" w:cs="仿宋_GB2312"/>
        <w:sz w:val="28"/>
        <w:szCs w:val="28"/>
      </w:rPr>
      <w:fldChar w:fldCharType="end"/>
    </w:r>
    <w:r>
      <w:rPr>
        <w:rStyle w:val="22"/>
        <w:rFonts w:ascii="仿宋_GB2312" w:eastAsia="仿宋_GB2312" w:cs="仿宋_GB2312"/>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ECC7A"/>
    <w:multiLevelType w:val="multilevel"/>
    <w:tmpl w:val="CC3ECC7A"/>
    <w:lvl w:ilvl="0" w:tentative="0">
      <w:start w:val="5"/>
      <w:numFmt w:val="chineseCounting"/>
      <w:suff w:val="nothing"/>
      <w:lvlText w:val="（%1）"/>
      <w:lvlJc w:val="left"/>
      <w:pPr>
        <w:tabs>
          <w:tab w:val="left" w:pos="0"/>
        </w:tabs>
        <w:ind w:left="0" w:firstLine="0"/>
      </w:pPr>
      <w:rPr>
        <w:rFonts w:hint="eastAsia" w:ascii="宋体" w:hAnsi="宋体" w:eastAsia="宋体"/>
      </w:rPr>
    </w:lvl>
    <w:lvl w:ilvl="1" w:tentative="0">
      <w:start w:val="5"/>
      <w:numFmt w:val="chineseCounting"/>
      <w:lvlRestart w:val="0"/>
      <w:suff w:val="nothing"/>
      <w:lvlText w:val="（%1）"/>
      <w:lvlJc w:val="left"/>
      <w:pPr>
        <w:tabs>
          <w:tab w:val="left" w:pos="0"/>
        </w:tabs>
        <w:ind w:left="0" w:firstLine="0"/>
      </w:pPr>
      <w:rPr>
        <w:rFonts w:hint="eastAsia" w:ascii="宋体" w:hAnsi="宋体" w:eastAsia="宋体"/>
      </w:rPr>
    </w:lvl>
    <w:lvl w:ilvl="2" w:tentative="0">
      <w:start w:val="5"/>
      <w:numFmt w:val="chineseCounting"/>
      <w:lvlRestart w:val="0"/>
      <w:suff w:val="nothing"/>
      <w:lvlText w:val="（%1）"/>
      <w:lvlJc w:val="left"/>
      <w:pPr>
        <w:tabs>
          <w:tab w:val="left" w:pos="0"/>
        </w:tabs>
        <w:ind w:left="0" w:firstLine="0"/>
      </w:pPr>
      <w:rPr>
        <w:rFonts w:hint="eastAsia" w:ascii="宋体" w:hAnsi="宋体" w:eastAsia="宋体"/>
      </w:rPr>
    </w:lvl>
    <w:lvl w:ilvl="3" w:tentative="0">
      <w:start w:val="5"/>
      <w:numFmt w:val="chineseCounting"/>
      <w:lvlRestart w:val="0"/>
      <w:suff w:val="nothing"/>
      <w:lvlText w:val="（%1）"/>
      <w:lvlJc w:val="left"/>
      <w:pPr>
        <w:tabs>
          <w:tab w:val="left" w:pos="0"/>
        </w:tabs>
        <w:ind w:left="0" w:firstLine="0"/>
      </w:pPr>
      <w:rPr>
        <w:rFonts w:hint="eastAsia" w:ascii="宋体" w:hAnsi="宋体" w:eastAsia="宋体"/>
      </w:rPr>
    </w:lvl>
    <w:lvl w:ilvl="4" w:tentative="0">
      <w:start w:val="5"/>
      <w:numFmt w:val="chineseCounting"/>
      <w:lvlRestart w:val="0"/>
      <w:suff w:val="nothing"/>
      <w:lvlText w:val="（%1）"/>
      <w:lvlJc w:val="left"/>
      <w:pPr>
        <w:tabs>
          <w:tab w:val="left" w:pos="0"/>
        </w:tabs>
        <w:ind w:left="0" w:firstLine="0"/>
      </w:pPr>
      <w:rPr>
        <w:rFonts w:hint="eastAsia" w:ascii="宋体" w:hAnsi="宋体" w:eastAsia="宋体"/>
      </w:rPr>
    </w:lvl>
    <w:lvl w:ilvl="5" w:tentative="0">
      <w:start w:val="5"/>
      <w:numFmt w:val="chineseCounting"/>
      <w:lvlRestart w:val="0"/>
      <w:suff w:val="nothing"/>
      <w:lvlText w:val="（%1）"/>
      <w:lvlJc w:val="left"/>
      <w:pPr>
        <w:tabs>
          <w:tab w:val="left" w:pos="0"/>
        </w:tabs>
        <w:ind w:left="0" w:firstLine="0"/>
      </w:pPr>
      <w:rPr>
        <w:rFonts w:hint="eastAsia" w:ascii="宋体" w:hAnsi="宋体" w:eastAsia="宋体"/>
      </w:rPr>
    </w:lvl>
    <w:lvl w:ilvl="6" w:tentative="0">
      <w:start w:val="5"/>
      <w:numFmt w:val="chineseCounting"/>
      <w:lvlRestart w:val="0"/>
      <w:suff w:val="nothing"/>
      <w:lvlText w:val="（%1）"/>
      <w:lvlJc w:val="left"/>
      <w:pPr>
        <w:tabs>
          <w:tab w:val="left" w:pos="0"/>
        </w:tabs>
        <w:ind w:left="0" w:firstLine="0"/>
      </w:pPr>
      <w:rPr>
        <w:rFonts w:hint="eastAsia" w:ascii="宋体" w:hAnsi="宋体" w:eastAsia="宋体"/>
      </w:rPr>
    </w:lvl>
    <w:lvl w:ilvl="7" w:tentative="0">
      <w:start w:val="5"/>
      <w:numFmt w:val="chineseCounting"/>
      <w:lvlRestart w:val="0"/>
      <w:suff w:val="nothing"/>
      <w:lvlText w:val="（%1）"/>
      <w:lvlJc w:val="left"/>
      <w:pPr>
        <w:tabs>
          <w:tab w:val="left" w:pos="0"/>
        </w:tabs>
        <w:ind w:left="0" w:firstLine="0"/>
      </w:pPr>
      <w:rPr>
        <w:rFonts w:hint="eastAsia" w:ascii="宋体" w:hAnsi="宋体" w:eastAsia="宋体"/>
      </w:rPr>
    </w:lvl>
    <w:lvl w:ilvl="8" w:tentative="0">
      <w:start w:val="5"/>
      <w:numFmt w:val="chineseCounting"/>
      <w:lvlRestart w:val="0"/>
      <w:suff w:val="nothing"/>
      <w:lvlText w:val="（%1）"/>
      <w:lvlJc w:val="left"/>
      <w:pPr>
        <w:tabs>
          <w:tab w:val="left" w:pos="0"/>
        </w:tabs>
        <w:ind w:left="0" w:firstLine="0"/>
      </w:pPr>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0C"/>
    <w:rsid w:val="00261842"/>
    <w:rsid w:val="003250C5"/>
    <w:rsid w:val="00445E59"/>
    <w:rsid w:val="00846C0C"/>
    <w:rsid w:val="00D53629"/>
    <w:rsid w:val="00DE5020"/>
    <w:rsid w:val="2E9A29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link w:val="25"/>
    <w:qFormat/>
    <w:uiPriority w:val="0"/>
    <w:pPr>
      <w:keepNext/>
      <w:keepLines/>
      <w:spacing w:before="260" w:after="260" w:line="415" w:lineRule="auto"/>
      <w:outlineLvl w:val="2"/>
    </w:pPr>
    <w:rPr>
      <w:b/>
      <w:bCs/>
      <w:sz w:val="32"/>
      <w:szCs w:val="32"/>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center"/>
    </w:pPr>
    <w:rPr>
      <w:b/>
      <w:bCs/>
      <w:sz w:val="44"/>
    </w:rPr>
  </w:style>
  <w:style w:type="paragraph" w:styleId="6">
    <w:name w:val="Body Text Indent"/>
    <w:basedOn w:val="1"/>
    <w:qFormat/>
    <w:uiPriority w:val="0"/>
    <w:pPr>
      <w:spacing w:after="120"/>
      <w:ind w:left="200" w:leftChars="200"/>
    </w:pPr>
  </w:style>
  <w:style w:type="paragraph" w:styleId="7">
    <w:name w:val="toc 5"/>
    <w:basedOn w:val="1"/>
    <w:next w:val="1"/>
    <w:autoRedefine/>
    <w:qFormat/>
    <w:uiPriority w:val="0"/>
    <w:pPr>
      <w:ind w:left="1680"/>
    </w:pPr>
  </w:style>
  <w:style w:type="paragraph" w:styleId="8">
    <w:name w:val="toc 3"/>
    <w:basedOn w:val="1"/>
    <w:next w:val="1"/>
    <w:autoRedefine/>
    <w:qFormat/>
    <w:uiPriority w:val="0"/>
    <w:pPr>
      <w:ind w:left="840"/>
    </w:pPr>
  </w:style>
  <w:style w:type="paragraph" w:styleId="9">
    <w:name w:val="Date"/>
    <w:basedOn w:val="1"/>
    <w:next w:val="1"/>
    <w:qFormat/>
    <w:uiPriority w:val="0"/>
    <w:pPr>
      <w:ind w:left="2500" w:leftChars="2500"/>
    </w:pPr>
  </w:style>
  <w:style w:type="paragraph" w:styleId="10">
    <w:name w:val="Body Text Indent 2"/>
    <w:basedOn w:val="1"/>
    <w:qFormat/>
    <w:uiPriority w:val="0"/>
    <w:pPr>
      <w:spacing w:after="120" w:line="480" w:lineRule="auto"/>
      <w:ind w:left="200" w:leftChars="2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toc 4"/>
    <w:basedOn w:val="1"/>
    <w:next w:val="1"/>
    <w:autoRedefine/>
    <w:qFormat/>
    <w:uiPriority w:val="0"/>
    <w:pPr>
      <w:ind w:left="1260"/>
    </w:pPr>
  </w:style>
  <w:style w:type="paragraph" w:styleId="16">
    <w:name w:val="Body Text Indent 3"/>
    <w:basedOn w:val="1"/>
    <w:qFormat/>
    <w:uiPriority w:val="0"/>
    <w:pPr>
      <w:spacing w:after="120"/>
      <w:ind w:left="200" w:leftChars="200"/>
    </w:pPr>
    <w:rPr>
      <w:sz w:val="16"/>
      <w:szCs w:val="16"/>
    </w:rPr>
  </w:style>
  <w:style w:type="paragraph" w:styleId="17">
    <w:name w:val="toc 2"/>
    <w:basedOn w:val="1"/>
    <w:next w:val="1"/>
    <w:autoRedefine/>
    <w:qFormat/>
    <w:uiPriority w:val="0"/>
    <w:pPr>
      <w:ind w:left="42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Title"/>
    <w:basedOn w:val="1"/>
    <w:next w:val="1"/>
    <w:qFormat/>
    <w:uiPriority w:val="0"/>
    <w:pPr>
      <w:spacing w:before="240" w:after="60"/>
      <w:jc w:val="center"/>
      <w:outlineLvl w:val="0"/>
    </w:pPr>
    <w:rPr>
      <w:rFonts w:ascii="Cambria" w:hAnsi="Cambria" w:cs="Cambria"/>
      <w:b/>
      <w:bCs/>
      <w:sz w:val="32"/>
      <w:szCs w:val="32"/>
    </w:rPr>
  </w:style>
  <w:style w:type="character" w:styleId="22">
    <w:name w:val="page number"/>
    <w:qFormat/>
    <w:uiPriority w:val="0"/>
  </w:style>
  <w:style w:type="character" w:customStyle="1" w:styleId="23">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标题 2 字符"/>
    <w:link w:val="3"/>
    <w:qFormat/>
    <w:uiPriority w:val="0"/>
    <w:rPr>
      <w:rFonts w:ascii="Times New Roman" w:hAnsi="Times New Roman" w:eastAsia="黑体" w:cs="Times New Roman"/>
      <w:b/>
      <w:bCs/>
      <w:kern w:val="2"/>
      <w:sz w:val="32"/>
      <w:szCs w:val="32"/>
      <w:lang w:val="en-US" w:eastAsia="zh-CN" w:bidi="ar-SA"/>
    </w:rPr>
  </w:style>
  <w:style w:type="character" w:customStyle="1" w:styleId="25">
    <w:name w:val="标题 3 字符"/>
    <w:link w:val="4"/>
    <w:qFormat/>
    <w:uiPriority w:val="0"/>
    <w:rPr>
      <w:rFonts w:ascii="Times New Roman" w:hAnsi="Times New Roman" w:eastAsia="宋体" w:cs="Times New Roman"/>
      <w:b/>
      <w:bCs/>
      <w:kern w:val="2"/>
      <w:sz w:val="32"/>
      <w:szCs w:val="32"/>
      <w:lang w:val="en-US" w:eastAsia="zh-CN" w:bidi="ar-SA"/>
    </w:rPr>
  </w:style>
  <w:style w:type="paragraph" w:customStyle="1" w:styleId="26">
    <w:name w:val="Char"/>
    <w:basedOn w:val="1"/>
    <w:qFormat/>
    <w:uiPriority w:val="0"/>
    <w:pPr>
      <w:widowControl/>
      <w:spacing w:after="160" w:line="240" w:lineRule="exact"/>
      <w:jc w:val="left"/>
    </w:pPr>
    <w:rPr>
      <w:rFonts w:ascii="Verdana" w:hAnsi="Verdana" w:eastAsia="仿宋_GB2312"/>
      <w:kern w:val="0"/>
      <w:sz w:val="24"/>
      <w:szCs w:val="20"/>
    </w:rPr>
  </w:style>
  <w:style w:type="paragraph" w:customStyle="1" w:styleId="27">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28">
    <w:name w:val="文件正文"/>
    <w:basedOn w:val="1"/>
    <w:qFormat/>
    <w:uiPriority w:val="0"/>
    <w:pPr>
      <w:spacing w:line="560" w:lineRule="exact"/>
      <w:ind w:firstLine="640"/>
    </w:pPr>
    <w:rPr>
      <w:rFonts w:ascii="仿宋_GB2312" w:eastAsia="仿宋_GB2312"/>
      <w:color w:val="000000"/>
      <w:sz w:val="32"/>
    </w:rPr>
  </w:style>
  <w:style w:type="paragraph" w:customStyle="1" w:styleId="29">
    <w:name w:val="中文标题"/>
    <w:basedOn w:val="1"/>
    <w:qFormat/>
    <w:uiPriority w:val="0"/>
    <w:pPr>
      <w:jc w:val="center"/>
    </w:pPr>
    <w:rPr>
      <w:rFonts w:ascii="方正小标宋简体" w:eastAsia="方正小标宋简体"/>
      <w:sz w:val="44"/>
      <w:szCs w:val="44"/>
    </w:rPr>
  </w:style>
  <w:style w:type="paragraph" w:customStyle="1" w:styleId="30">
    <w:name w:val="列出段落1"/>
    <w:basedOn w:val="1"/>
    <w:qFormat/>
    <w:uiPriority w:val="0"/>
    <w:pPr>
      <w:widowControl/>
      <w:spacing w:after="200" w:line="276" w:lineRule="auto"/>
      <w:ind w:left="720"/>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74A522E-7429-4AC8-85CC-B1CBC16158BC}">
  <ds:schemaRefs/>
</ds:datastoreItem>
</file>

<file path=docProps/app.xml><?xml version="1.0" encoding="utf-8"?>
<Properties xmlns="http://schemas.openxmlformats.org/officeDocument/2006/extended-properties" xmlns:vt="http://schemas.openxmlformats.org/officeDocument/2006/docPropsVTypes">
  <Template>Normal.dotm</Template>
  <Company>tjipo</Company>
  <Pages>39</Pages>
  <Words>15306</Words>
  <Characters>16047</Characters>
  <Lines>531</Lines>
  <Paragraphs>490</Paragraphs>
  <TotalTime>14094918</TotalTime>
  <ScaleCrop>false</ScaleCrop>
  <LinksUpToDate>false</LinksUpToDate>
  <CharactersWithSpaces>16116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2019-04-15T16:28:00Z</dcterms:created>
  <dc:creator>匿名用户</dc:creator>
  <cp:lastModifiedBy>王亚荣</cp:lastModifiedBy>
  <cp:lastPrinted>2019-03-07T09:08:00Z</cp:lastPrinted>
  <dcterms:modified xsi:type="dcterms:W3CDTF">2026-03-06T09:08:20Z</dcterms:modified>
  <dc:title>天津市知识产权局文件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0E21EA82733D4F6180ED11AF0C37D80C_13</vt:lpwstr>
  </property>
</Properties>
</file>