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18087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附件2</w:t>
      </w:r>
    </w:p>
    <w:p w14:paraId="197AA96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/>
        <w:jc w:val="center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  <w:t>天津市大学软件学院简介</w:t>
      </w:r>
    </w:p>
    <w:bookmarkEnd w:id="0"/>
    <w:p w14:paraId="5ABBED0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天津市大学软件学院是天津市特色化示范性软件学院建设单位之一，是经市委、市政府批准设立，隶属于天津市教委的副局级独立法人事业单位。2010年学院正式投入使用。面向行业应用软件的产教融合开展，以培养多层次、具有创新精神的适用性人才为主要任务。树立和秉承“教学与产业相融、学校与企业互动”的办学理念，坚持以软件产业发展的人才需求为导向，实施“政府主导、政校企共建、多元化投入、企业化运作、产学研结合、市场化运营”的创新型运营体制。</w:t>
      </w:r>
    </w:p>
    <w:p w14:paraId="78CDADA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一、产教相融 协同育人</w:t>
      </w:r>
    </w:p>
    <w:p w14:paraId="4817BD4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482" w:firstLineChars="200"/>
        <w:jc w:val="both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450465" cy="3305175"/>
            <wp:effectExtent l="0" t="0" r="6985" b="9525"/>
            <wp:docPr id="4" name="图片 3" descr="微信图片_2025022609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微信图片_2025022609152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ABD3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二、科教融汇 专业集群</w:t>
      </w:r>
    </w:p>
    <w:p w14:paraId="6DB5659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“一二三四+N”专业矩阵</w:t>
      </w:r>
    </w:p>
    <w:p w14:paraId="0519E13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面向国家战略需要、地方产业需求、学生终身发展需求和就业需求，以软件工程专业为核心，以“产教融合、科教融汇”为主线，健全对接产业、动态调整、自我完善的专业方向群建设发展机制，从顶层设计、内涵建设、机制创新、成效评价等方面统筹安排、协调推进，开展专业方向动态量化评估构建专业方向群，通过对相互关联的专业方向群进行聚类，形成学校的专业方向集群，发挥集聚效应和服务功能，实现软件人才培养供给侧和产业需求侧结构要素全方位融合。</w:t>
      </w:r>
    </w:p>
    <w:p w14:paraId="4E23CFB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480" w:firstLineChars="200"/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drawing>
          <wp:inline distT="0" distB="0" distL="114300" distR="114300">
            <wp:extent cx="4324350" cy="2656205"/>
            <wp:effectExtent l="0" t="0" r="0" b="10795"/>
            <wp:docPr id="5" name="图片 4" descr="微信图片_2025022609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微信图片_202502260913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4C6D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三、双师培养 注重实践</w:t>
      </w:r>
    </w:p>
    <w:p w14:paraId="0A4D181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“一二二五”天软范式</w:t>
      </w:r>
    </w:p>
    <w:p w14:paraId="0B2385E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以卓越软件工程师教育培养计划为契机，打造具有全国影响力的卓越软件工程师培养品牌，形成了“一目标、两要素、两智库、五重点”的横向融合，纵向贯通的天软人才培养范式。以培养多层次、高技能、创新型、适用性软件工程人才为培养目标，以产业创新要素和人才培养要素为纵向贯通、实践项目库和双师双能师资库为横向联动的培养矩阵，深入开展“学生与企业”和“学生与项目”的互动双选，明确五类学生培养路径和个性化教学计划，实施精准培养。</w:t>
      </w:r>
    </w:p>
    <w:p w14:paraId="5AFC5D3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480" w:firstLineChars="200"/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drawing>
          <wp:inline distT="0" distB="0" distL="114300" distR="114300">
            <wp:extent cx="4241165" cy="2668270"/>
            <wp:effectExtent l="0" t="0" r="6985" b="17780"/>
            <wp:docPr id="6" name="图片 5" descr="微信图片_2025022609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微信图片_202502260914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41165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ACEB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四、校企协同 创新创业</w:t>
      </w:r>
    </w:p>
    <w:p w14:paraId="4FDF865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482" w:firstLineChars="200"/>
        <w:jc w:val="both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1955800" cy="3462020"/>
            <wp:effectExtent l="0" t="0" r="6350" b="5080"/>
            <wp:docPr id="7" name="图片 6" descr="微信图片_2025022609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微信图片_2025022609143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34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197E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</w:p>
    <w:p w14:paraId="5CFAC40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40" w:firstLineChars="200"/>
        <w:jc w:val="both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五、教育成果 竞进有为</w:t>
      </w:r>
    </w:p>
    <w:p w14:paraId="393090D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482" w:firstLineChars="200"/>
        <w:jc w:val="both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052320" cy="2937510"/>
            <wp:effectExtent l="0" t="0" r="5080" b="15240"/>
            <wp:docPr id="8" name="图片 7" descr="微信图片_2025022609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微信图片_2025022609145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320290" cy="3018155"/>
            <wp:effectExtent l="0" t="0" r="3810" b="10795"/>
            <wp:docPr id="3" name="图片 8" descr="微信图片_2025022609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微信图片_2025022609151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20290" cy="301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D9CA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/>
        <w:rPr>
          <w:rFonts w:hint="default" w:ascii="黑体" w:hAnsi="黑体" w:eastAsia="黑体" w:cs="黑体"/>
          <w:b w:val="0"/>
          <w:bCs w:val="0"/>
          <w:sz w:val="32"/>
          <w:szCs w:val="32"/>
          <w:lang w:val="en-US" w:eastAsia="zh-CN"/>
        </w:rPr>
      </w:pPr>
    </w:p>
    <w:p w14:paraId="6287F1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 w14:paraId="6B0422CC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0000600000000000000"/>
    <w:charset w:val="86"/>
    <w:family w:val="auto"/>
    <w:pitch w:val="default"/>
    <w:sig w:usb0="800002BF" w:usb1="184F6CF8" w:usb2="00000012" w:usb3="00000000" w:csb0="00160001" w:csb1="1203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MzMGZhYWI5YThmNWZhYTUzMGQ4ZDc4OTY4OGQxZjAifQ=="/>
  </w:docVars>
  <w:rsids>
    <w:rsidRoot w:val="69AD294B"/>
    <w:rsid w:val="69AD2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2025-02-27T07:15:00Z</dcterms:created>
  <dc:creator>胡娜</dc:creator>
  <cp:lastModifiedBy>胡娜</cp:lastModifiedBy>
  <dcterms:modified xsi:type="dcterms:W3CDTF">2025-02-27T07:15:27Z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8FE763F20C06475FAD00E2FB0CB5E3AE_11</vt:lpwstr>
  </property>
</Properties>
</file>