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AD46">
      <w:pPr>
        <w:keepNext w:val="0"/>
        <w:keepLines w:val="0"/>
        <w:pageBreakBefore w:val="0"/>
        <w:kinsoku/>
        <w:wordWrap/>
        <w:overflowPunct/>
        <w:topLinePunct w:val="0"/>
        <w:autoSpaceDE/>
        <w:autoSpaceDN/>
        <w:bidi w:val="0"/>
        <w:adjustRightInd w:val="0"/>
        <w:snapToGrid w:val="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03D441BB">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方正小标宋简体" w:cs="Times New Roman"/>
          <w:sz w:val="36"/>
          <w:szCs w:val="36"/>
        </w:rPr>
      </w:pPr>
      <w:bookmarkStart w:id="8" w:name="_GoBack"/>
      <w:r>
        <w:rPr>
          <w:rFonts w:ascii="Times New Roman" w:hAnsi="Times New Roman" w:eastAsia="方正小标宋简体" w:cs="Times New Roman"/>
          <w:sz w:val="36"/>
          <w:szCs w:val="36"/>
        </w:rPr>
        <w:t>全国独角兽企业大赛评议指标体系</w:t>
      </w:r>
      <w:bookmarkEnd w:id="8"/>
    </w:p>
    <w:tbl>
      <w:tblPr>
        <w:tblStyle w:val="2"/>
        <w:tblW w:w="15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5"/>
        <w:gridCol w:w="8432"/>
        <w:gridCol w:w="900"/>
        <w:gridCol w:w="2348"/>
      </w:tblGrid>
      <w:tr w14:paraId="7094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Align w:val="center"/>
          </w:tcPr>
          <w:p w14:paraId="00EA5A9C">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一级指标</w:t>
            </w:r>
          </w:p>
        </w:tc>
        <w:tc>
          <w:tcPr>
            <w:tcW w:w="1815" w:type="dxa"/>
            <w:vAlign w:val="center"/>
          </w:tcPr>
          <w:p w14:paraId="39A2C493">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黑体" w:cs="Times New Roman"/>
                <w:kern w:val="0"/>
                <w:sz w:val="28"/>
                <w:szCs w:val="28"/>
              </w:rPr>
            </w:pPr>
            <w:r>
              <w:rPr>
                <w:rFonts w:ascii="Times New Roman" w:hAnsi="Times New Roman" w:eastAsia="黑体" w:cs="Times New Roman"/>
                <w:kern w:val="0"/>
                <w:sz w:val="28"/>
                <w:szCs w:val="28"/>
              </w:rPr>
              <w:t>二级指标</w:t>
            </w:r>
          </w:p>
        </w:tc>
        <w:tc>
          <w:tcPr>
            <w:tcW w:w="8432" w:type="dxa"/>
            <w:vAlign w:val="center"/>
          </w:tcPr>
          <w:p w14:paraId="345C1432">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黑体" w:cs="Times New Roman"/>
                <w:kern w:val="0"/>
                <w:sz w:val="28"/>
                <w:szCs w:val="28"/>
              </w:rPr>
            </w:pPr>
            <w:r>
              <w:rPr>
                <w:rFonts w:ascii="Times New Roman" w:hAnsi="Times New Roman" w:eastAsia="黑体" w:cs="Times New Roman"/>
                <w:kern w:val="0"/>
                <w:sz w:val="28"/>
                <w:szCs w:val="28"/>
              </w:rPr>
              <w:t>指标描述</w:t>
            </w:r>
          </w:p>
        </w:tc>
        <w:tc>
          <w:tcPr>
            <w:tcW w:w="900" w:type="dxa"/>
            <w:vAlign w:val="center"/>
          </w:tcPr>
          <w:p w14:paraId="4B7F8A78">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黑体" w:cs="Times New Roman"/>
                <w:kern w:val="0"/>
                <w:sz w:val="28"/>
                <w:szCs w:val="28"/>
              </w:rPr>
            </w:pPr>
            <w:r>
              <w:rPr>
                <w:rFonts w:ascii="Times New Roman" w:hAnsi="Times New Roman" w:eastAsia="黑体" w:cs="Times New Roman"/>
                <w:kern w:val="0"/>
                <w:sz w:val="28"/>
                <w:szCs w:val="28"/>
              </w:rPr>
              <w:t>分值</w:t>
            </w:r>
          </w:p>
        </w:tc>
        <w:tc>
          <w:tcPr>
            <w:tcW w:w="2348" w:type="dxa"/>
            <w:vAlign w:val="center"/>
          </w:tcPr>
          <w:p w14:paraId="76F0024B">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黑体" w:cs="Times New Roman"/>
                <w:kern w:val="0"/>
                <w:sz w:val="28"/>
                <w:szCs w:val="28"/>
              </w:rPr>
            </w:pPr>
            <w:r>
              <w:rPr>
                <w:rFonts w:ascii="Times New Roman" w:hAnsi="Times New Roman" w:eastAsia="黑体" w:cs="Times New Roman"/>
                <w:kern w:val="0"/>
                <w:sz w:val="28"/>
                <w:szCs w:val="28"/>
              </w:rPr>
              <w:t>得分</w:t>
            </w:r>
          </w:p>
        </w:tc>
      </w:tr>
      <w:tr w14:paraId="4EAE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0" w:type="dxa"/>
            <w:vMerge w:val="restart"/>
            <w:vAlign w:val="center"/>
          </w:tcPr>
          <w:p w14:paraId="1E9DC04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创新能力</w:t>
            </w:r>
          </w:p>
          <w:p w14:paraId="24E5161E">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（40分）</w:t>
            </w:r>
          </w:p>
        </w:tc>
        <w:tc>
          <w:tcPr>
            <w:tcW w:w="1815" w:type="dxa"/>
            <w:vAlign w:val="center"/>
          </w:tcPr>
          <w:p w14:paraId="038E3F97">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研发投入强度</w:t>
            </w:r>
          </w:p>
          <w:p w14:paraId="032A2A4C">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（量化指标）</w:t>
            </w:r>
          </w:p>
        </w:tc>
        <w:tc>
          <w:tcPr>
            <w:tcW w:w="8432" w:type="dxa"/>
            <w:vAlign w:val="center"/>
          </w:tcPr>
          <w:p w14:paraId="03A5600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当年研发投入占当年主营业收入的比重。</w:t>
            </w:r>
          </w:p>
          <w:p w14:paraId="7A62C6A3">
            <w:pPr>
              <w:keepNext w:val="0"/>
              <w:keepLines w:val="0"/>
              <w:pageBreakBefore w:val="0"/>
              <w:kinsoku/>
              <w:wordWrap/>
              <w:overflowPunct/>
              <w:topLinePunct w:val="0"/>
              <w:autoSpaceDE/>
              <w:autoSpaceDN/>
              <w:bidi w:val="0"/>
              <w:adjustRightInd w:val="0"/>
              <w:snapToGrid w:val="0"/>
              <w:ind w:firstLine="480" w:firstLineChars="200"/>
              <w:jc w:val="left"/>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优秀：3%以上；良好：2.5%-3%；</w:t>
            </w:r>
          </w:p>
          <w:p w14:paraId="3A6B4BF9">
            <w:pPr>
              <w:keepNext w:val="0"/>
              <w:keepLines w:val="0"/>
              <w:pageBreakBefore w:val="0"/>
              <w:kinsoku/>
              <w:wordWrap/>
              <w:overflowPunct/>
              <w:topLinePunct w:val="0"/>
              <w:autoSpaceDE/>
              <w:autoSpaceDN/>
              <w:bidi w:val="0"/>
              <w:adjustRightInd w:val="0"/>
              <w:snapToGrid w:val="0"/>
              <w:ind w:firstLine="480" w:firstLineChars="200"/>
              <w:jc w:val="left"/>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一般：2%-2.5%；差：2%以下。</w:t>
            </w:r>
          </w:p>
          <w:p w14:paraId="414E683F">
            <w:pPr>
              <w:keepNext w:val="0"/>
              <w:keepLines w:val="0"/>
              <w:pageBreakBefore w:val="0"/>
              <w:kinsoku/>
              <w:wordWrap/>
              <w:overflowPunct/>
              <w:topLinePunct w:val="0"/>
              <w:autoSpaceDE/>
              <w:autoSpaceDN/>
              <w:bidi w:val="0"/>
              <w:adjustRightInd w:val="0"/>
              <w:snapToGrid w:val="0"/>
              <w:ind w:firstLine="482" w:firstLineChars="200"/>
              <w:textAlignment w:val="auto"/>
              <w:rPr>
                <w:rFonts w:ascii="Times New Roman" w:hAnsi="Times New Roman" w:eastAsia="仿宋" w:cs="Times New Roman"/>
                <w:color w:val="000000"/>
                <w:sz w:val="24"/>
              </w:rPr>
            </w:pPr>
            <w:r>
              <w:rPr>
                <w:rFonts w:ascii="Times New Roman" w:hAnsi="Times New Roman" w:eastAsia="仿宋" w:cs="Times New Roman"/>
                <w:b/>
                <w:bCs/>
                <w:color w:val="000000"/>
                <w:sz w:val="24"/>
              </w:rPr>
              <w:t>注：</w:t>
            </w:r>
            <w:r>
              <w:rPr>
                <w:rFonts w:ascii="Times New Roman" w:hAnsi="Times New Roman" w:eastAsia="仿宋" w:cs="Times New Roman"/>
                <w:color w:val="000000"/>
                <w:sz w:val="24"/>
              </w:rPr>
              <w:t>如参赛企业因各种原因无法在材料中提供研发投入强度的具体量化数据，则评委可根据参赛企业已经提供的材料对其研发投入水平和力度进行综合判断，但此项最高评分不可超过7分。</w:t>
            </w:r>
          </w:p>
        </w:tc>
        <w:tc>
          <w:tcPr>
            <w:tcW w:w="900" w:type="dxa"/>
            <w:vAlign w:val="center"/>
          </w:tcPr>
          <w:p w14:paraId="78021C17">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10</w:t>
            </w:r>
          </w:p>
        </w:tc>
        <w:tc>
          <w:tcPr>
            <w:tcW w:w="2348" w:type="dxa"/>
            <w:vAlign w:val="center"/>
          </w:tcPr>
          <w:p w14:paraId="03FC8B15">
            <w:pPr>
              <w:keepNext w:val="0"/>
              <w:keepLines w:val="0"/>
              <w:pageBreakBefore w:val="0"/>
              <w:kinsoku/>
              <w:wordWrap/>
              <w:overflowPunct/>
              <w:topLinePunct w:val="0"/>
              <w:autoSpaceDE/>
              <w:autoSpaceDN/>
              <w:bidi w:val="0"/>
              <w:adjustRightInd w:val="0"/>
              <w:snapToGrid w:val="0"/>
              <w:ind w:firstLine="480" w:firstLineChars="200"/>
              <w:jc w:val="left"/>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优秀：10</w:t>
            </w:r>
          </w:p>
          <w:p w14:paraId="0A704753">
            <w:pPr>
              <w:keepNext w:val="0"/>
              <w:keepLines w:val="0"/>
              <w:pageBreakBefore w:val="0"/>
              <w:kinsoku/>
              <w:wordWrap/>
              <w:overflowPunct/>
              <w:topLinePunct w:val="0"/>
              <w:autoSpaceDE/>
              <w:autoSpaceDN/>
              <w:bidi w:val="0"/>
              <w:adjustRightInd w:val="0"/>
              <w:snapToGrid w:val="0"/>
              <w:ind w:firstLine="480" w:firstLineChars="200"/>
              <w:jc w:val="left"/>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良好：7-9</w:t>
            </w:r>
          </w:p>
          <w:p w14:paraId="106CF274">
            <w:pPr>
              <w:keepNext w:val="0"/>
              <w:keepLines w:val="0"/>
              <w:pageBreakBefore w:val="0"/>
              <w:kinsoku/>
              <w:wordWrap/>
              <w:overflowPunct/>
              <w:topLinePunct w:val="0"/>
              <w:autoSpaceDE/>
              <w:autoSpaceDN/>
              <w:bidi w:val="0"/>
              <w:adjustRightInd w:val="0"/>
              <w:snapToGrid w:val="0"/>
              <w:ind w:firstLine="480" w:firstLineChars="200"/>
              <w:jc w:val="left"/>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一般：4-6</w:t>
            </w:r>
          </w:p>
          <w:p w14:paraId="3E9E019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较差：1-3</w:t>
            </w:r>
          </w:p>
        </w:tc>
      </w:tr>
      <w:tr w14:paraId="0081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50" w:type="dxa"/>
            <w:vMerge w:val="continue"/>
            <w:noWrap/>
            <w:vAlign w:val="center"/>
          </w:tcPr>
          <w:p w14:paraId="25A2A716">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6BF0CEF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技术能力</w:t>
            </w:r>
          </w:p>
        </w:tc>
        <w:tc>
          <w:tcPr>
            <w:tcW w:w="8432" w:type="dxa"/>
            <w:vAlign w:val="center"/>
          </w:tcPr>
          <w:p w14:paraId="1040704A">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主要技术和产品与国内外同类型成果相比的领先程度；关键性能及指标持续迭代升级的空间和能力；对所属行业和领域的中长期技术发展趋势起到的引领带动作用。</w:t>
            </w:r>
          </w:p>
        </w:tc>
        <w:tc>
          <w:tcPr>
            <w:tcW w:w="900" w:type="dxa"/>
            <w:noWrap/>
            <w:vAlign w:val="center"/>
          </w:tcPr>
          <w:p w14:paraId="13206DEC">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12</w:t>
            </w:r>
          </w:p>
        </w:tc>
        <w:tc>
          <w:tcPr>
            <w:tcW w:w="2348" w:type="dxa"/>
            <w:vAlign w:val="center"/>
          </w:tcPr>
          <w:p w14:paraId="5E25C28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优秀：11-12</w:t>
            </w:r>
          </w:p>
          <w:p w14:paraId="69A5E142">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良好：8-10</w:t>
            </w:r>
          </w:p>
          <w:p w14:paraId="1BBF7DB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一般：4-7</w:t>
            </w:r>
          </w:p>
          <w:p w14:paraId="1C47908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较差：1-3</w:t>
            </w:r>
          </w:p>
        </w:tc>
      </w:tr>
      <w:tr w14:paraId="1C26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0" w:type="dxa"/>
            <w:vMerge w:val="continue"/>
            <w:vAlign w:val="center"/>
          </w:tcPr>
          <w:p w14:paraId="7FC12196">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2F3279B8">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经营能力</w:t>
            </w:r>
          </w:p>
        </w:tc>
        <w:tc>
          <w:tcPr>
            <w:tcW w:w="8432" w:type="dxa"/>
            <w:vAlign w:val="center"/>
          </w:tcPr>
          <w:p w14:paraId="3E746162">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在结构优化、组织升级、模式变革等方面展现出的内生创新能力和水平；在研发路径、生产方式、管理机制等方面采取的探索性举措的实际成效。</w:t>
            </w:r>
          </w:p>
        </w:tc>
        <w:tc>
          <w:tcPr>
            <w:tcW w:w="900" w:type="dxa"/>
            <w:noWrap/>
            <w:vAlign w:val="center"/>
          </w:tcPr>
          <w:p w14:paraId="11C8C8C4">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12</w:t>
            </w:r>
          </w:p>
        </w:tc>
        <w:tc>
          <w:tcPr>
            <w:tcW w:w="2348" w:type="dxa"/>
            <w:vAlign w:val="center"/>
          </w:tcPr>
          <w:p w14:paraId="5ECACAB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优秀：11-12</w:t>
            </w:r>
          </w:p>
          <w:p w14:paraId="24CF9B3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良好：8-10</w:t>
            </w:r>
          </w:p>
          <w:p w14:paraId="4B821A18">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一般：4-7</w:t>
            </w:r>
          </w:p>
          <w:p w14:paraId="592FDC64">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较差：1-3</w:t>
            </w:r>
          </w:p>
        </w:tc>
      </w:tr>
      <w:tr w14:paraId="2446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550" w:type="dxa"/>
            <w:vMerge w:val="continue"/>
            <w:vAlign w:val="center"/>
          </w:tcPr>
          <w:p w14:paraId="15E27E12">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2D0B444B">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示范能力</w:t>
            </w:r>
          </w:p>
        </w:tc>
        <w:tc>
          <w:tcPr>
            <w:tcW w:w="8432" w:type="dxa"/>
            <w:vAlign w:val="center"/>
          </w:tcPr>
          <w:p w14:paraId="2447BD3A">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创新经验及成效对同类型企业的借鉴意义和参考价值；在本行业、本领域能够发挥的创新示范作用和标杆效应。</w:t>
            </w:r>
          </w:p>
        </w:tc>
        <w:tc>
          <w:tcPr>
            <w:tcW w:w="900" w:type="dxa"/>
            <w:noWrap/>
            <w:vAlign w:val="center"/>
          </w:tcPr>
          <w:p w14:paraId="6F331496">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6</w:t>
            </w:r>
          </w:p>
        </w:tc>
        <w:tc>
          <w:tcPr>
            <w:tcW w:w="2348" w:type="dxa"/>
            <w:vAlign w:val="center"/>
          </w:tcPr>
          <w:p w14:paraId="15A9B96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优秀：6</w:t>
            </w:r>
          </w:p>
          <w:p w14:paraId="2B396D85">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良好：4-5</w:t>
            </w:r>
          </w:p>
          <w:p w14:paraId="552B5265">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一般：2-3</w:t>
            </w:r>
          </w:p>
          <w:p w14:paraId="7A04C6A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79A0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550" w:type="dxa"/>
            <w:vMerge w:val="restart"/>
            <w:vAlign w:val="center"/>
          </w:tcPr>
          <w:p w14:paraId="4E2BA97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成长趋势</w:t>
            </w:r>
          </w:p>
          <w:p w14:paraId="7C0FFCA9">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（30分）</w:t>
            </w:r>
          </w:p>
        </w:tc>
        <w:tc>
          <w:tcPr>
            <w:tcW w:w="1815" w:type="dxa"/>
            <w:vAlign w:val="center"/>
          </w:tcPr>
          <w:p w14:paraId="5ED026CC">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主营业务收入复合增长率</w:t>
            </w:r>
          </w:p>
          <w:p w14:paraId="726D4BB4">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（量化指标）</w:t>
            </w:r>
          </w:p>
        </w:tc>
        <w:tc>
          <w:tcPr>
            <w:tcW w:w="8432" w:type="dxa"/>
            <w:vAlign w:val="center"/>
          </w:tcPr>
          <w:p w14:paraId="65FE324C">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近三年（2022-2024年）主营业务收入复合增长率。</w:t>
            </w:r>
          </w:p>
          <w:p w14:paraId="63DC7BD4">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优秀：30%以上；良好25%-30%；</w:t>
            </w:r>
          </w:p>
          <w:p w14:paraId="1C87554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一般：20%-25%；差：20%以下。</w:t>
            </w:r>
          </w:p>
          <w:p w14:paraId="0EDF2F6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注：如参赛企业因各种原因无法在材料中提供主营业务收入复合增长率的具体量化数据，则评委可根据参赛企业已经提供的材料对其主营业务的增长态势和可持续发展能力进行综合判断，但此项最高得分不可超过5分。</w:t>
            </w:r>
          </w:p>
        </w:tc>
        <w:tc>
          <w:tcPr>
            <w:tcW w:w="900" w:type="dxa"/>
            <w:noWrap/>
            <w:vAlign w:val="center"/>
          </w:tcPr>
          <w:p w14:paraId="232B500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2348" w:type="dxa"/>
            <w:vAlign w:val="center"/>
          </w:tcPr>
          <w:p w14:paraId="4FA8DCF3">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优秀：8</w:t>
            </w:r>
          </w:p>
          <w:p w14:paraId="1C31450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良好：6-7</w:t>
            </w:r>
          </w:p>
          <w:p w14:paraId="2931BC7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一般：3-5</w:t>
            </w:r>
          </w:p>
          <w:p w14:paraId="7418E1EC">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较差：1-2</w:t>
            </w:r>
          </w:p>
        </w:tc>
      </w:tr>
      <w:tr w14:paraId="5AE2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50" w:type="dxa"/>
            <w:vMerge w:val="continue"/>
            <w:noWrap/>
            <w:vAlign w:val="center"/>
          </w:tcPr>
          <w:p w14:paraId="0AE36138">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5015539F">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商业趋势</w:t>
            </w:r>
          </w:p>
        </w:tc>
        <w:tc>
          <w:tcPr>
            <w:tcW w:w="8432" w:type="dxa"/>
            <w:vAlign w:val="center"/>
          </w:tcPr>
          <w:p w14:paraId="5D35D00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0" w:name="_Hlk203030342"/>
            <w:r>
              <w:rPr>
                <w:rFonts w:ascii="Times New Roman" w:hAnsi="Times New Roman" w:eastAsia="仿宋" w:cs="Times New Roman"/>
                <w:color w:val="000000"/>
                <w:sz w:val="24"/>
              </w:rPr>
              <w:t>主营业务在商业化层面展现出的系统性和可行性；主营业务的商业化进展程度和效率</w:t>
            </w:r>
            <w:bookmarkEnd w:id="0"/>
            <w:r>
              <w:rPr>
                <w:rFonts w:ascii="Times New Roman" w:hAnsi="Times New Roman" w:eastAsia="仿宋" w:cs="Times New Roman"/>
                <w:color w:val="000000"/>
                <w:sz w:val="24"/>
              </w:rPr>
              <w:t>；主营业务对客户群体持续进行发现、分级、营销的拓展能力。</w:t>
            </w:r>
          </w:p>
        </w:tc>
        <w:tc>
          <w:tcPr>
            <w:tcW w:w="900" w:type="dxa"/>
            <w:noWrap/>
            <w:vAlign w:val="center"/>
          </w:tcPr>
          <w:p w14:paraId="747A9181">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2348" w:type="dxa"/>
            <w:vAlign w:val="center"/>
          </w:tcPr>
          <w:p w14:paraId="1D2CF07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优秀：8</w:t>
            </w:r>
          </w:p>
          <w:p w14:paraId="6011963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良好：6-7</w:t>
            </w:r>
          </w:p>
          <w:p w14:paraId="1DBD84E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一般：3-5</w:t>
            </w:r>
          </w:p>
          <w:p w14:paraId="0AA0EE49">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较差：1-2</w:t>
            </w:r>
          </w:p>
        </w:tc>
      </w:tr>
      <w:tr w14:paraId="6753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550" w:type="dxa"/>
            <w:vMerge w:val="continue"/>
            <w:vAlign w:val="center"/>
          </w:tcPr>
          <w:p w14:paraId="3039EFBB">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39AEA79C">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应用趋势</w:t>
            </w:r>
          </w:p>
        </w:tc>
        <w:tc>
          <w:tcPr>
            <w:tcW w:w="8432" w:type="dxa"/>
            <w:vAlign w:val="center"/>
          </w:tcPr>
          <w:p w14:paraId="7C60DAD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基于主要技术和产品形成的解决方案的完整性和实现效果；对真实应用场景的发掘效率和拓展能力；对用户需求的针对性契合程度与多样性响应程度。</w:t>
            </w:r>
          </w:p>
        </w:tc>
        <w:tc>
          <w:tcPr>
            <w:tcW w:w="900" w:type="dxa"/>
            <w:noWrap/>
            <w:vAlign w:val="center"/>
          </w:tcPr>
          <w:p w14:paraId="2AB976A1">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2348" w:type="dxa"/>
            <w:vAlign w:val="center"/>
          </w:tcPr>
          <w:p w14:paraId="2808BB42">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优秀：8</w:t>
            </w:r>
          </w:p>
          <w:p w14:paraId="7204925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良好：6-7</w:t>
            </w:r>
          </w:p>
          <w:p w14:paraId="346FED40">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一般：3-5</w:t>
            </w:r>
          </w:p>
          <w:p w14:paraId="44ED86A4">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较差：1-2</w:t>
            </w:r>
          </w:p>
        </w:tc>
      </w:tr>
      <w:tr w14:paraId="75BC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50" w:type="dxa"/>
            <w:vMerge w:val="continue"/>
            <w:vAlign w:val="center"/>
          </w:tcPr>
          <w:p w14:paraId="7CCAECF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0FF17CBA">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市场趋势</w:t>
            </w:r>
          </w:p>
        </w:tc>
        <w:tc>
          <w:tcPr>
            <w:tcW w:w="8432" w:type="dxa"/>
            <w:vAlign w:val="center"/>
          </w:tcPr>
          <w:p w14:paraId="3E4A99A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1" w:name="_Hlk203030333"/>
            <w:r>
              <w:rPr>
                <w:rFonts w:ascii="Times New Roman" w:hAnsi="Times New Roman" w:eastAsia="仿宋" w:cs="Times New Roman"/>
                <w:color w:val="000000"/>
                <w:sz w:val="24"/>
              </w:rPr>
              <w:t>所处行业和领域的市场空间广阔程度；与同行业、同领域其他企业相比较的市场占有率水平</w:t>
            </w:r>
            <w:bookmarkEnd w:id="1"/>
            <w:r>
              <w:rPr>
                <w:rFonts w:ascii="Times New Roman" w:hAnsi="Times New Roman" w:eastAsia="仿宋" w:cs="Times New Roman"/>
                <w:color w:val="000000"/>
                <w:sz w:val="24"/>
              </w:rPr>
              <w:t xml:space="preserve">。 </w:t>
            </w:r>
          </w:p>
        </w:tc>
        <w:tc>
          <w:tcPr>
            <w:tcW w:w="900" w:type="dxa"/>
            <w:noWrap/>
            <w:vAlign w:val="center"/>
          </w:tcPr>
          <w:p w14:paraId="4EF56A58">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6</w:t>
            </w:r>
          </w:p>
        </w:tc>
        <w:tc>
          <w:tcPr>
            <w:tcW w:w="2348" w:type="dxa"/>
            <w:vAlign w:val="center"/>
          </w:tcPr>
          <w:p w14:paraId="37FD812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优秀：6</w:t>
            </w:r>
          </w:p>
          <w:p w14:paraId="1351283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良好：4-5</w:t>
            </w:r>
          </w:p>
          <w:p w14:paraId="2B8168E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一般：2-3</w:t>
            </w:r>
          </w:p>
          <w:p w14:paraId="1EA331DA">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7B27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550" w:type="dxa"/>
            <w:vMerge w:val="restart"/>
            <w:noWrap/>
            <w:vAlign w:val="center"/>
          </w:tcPr>
          <w:p w14:paraId="52BB4AED">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融合业态</w:t>
            </w:r>
          </w:p>
          <w:p w14:paraId="76364986">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（15分）</w:t>
            </w:r>
          </w:p>
        </w:tc>
        <w:tc>
          <w:tcPr>
            <w:tcW w:w="1815" w:type="dxa"/>
            <w:vAlign w:val="center"/>
          </w:tcPr>
          <w:p w14:paraId="1BAF9B4F">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协同业态</w:t>
            </w:r>
          </w:p>
        </w:tc>
        <w:tc>
          <w:tcPr>
            <w:tcW w:w="8432" w:type="dxa"/>
            <w:vAlign w:val="center"/>
          </w:tcPr>
          <w:p w14:paraId="3AE5E27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2" w:name="_Hlk203030610"/>
            <w:r>
              <w:rPr>
                <w:rFonts w:ascii="Times New Roman" w:hAnsi="Times New Roman" w:eastAsia="仿宋" w:cs="Times New Roman"/>
                <w:color w:val="000000"/>
                <w:sz w:val="24"/>
              </w:rPr>
              <w:t>围绕供应链进行资源整合、环节延伸、网络构建、流程再造的进展和成效，以及由此带动的经营方式和运作形态的升级情况。</w:t>
            </w:r>
            <w:bookmarkEnd w:id="2"/>
          </w:p>
        </w:tc>
        <w:tc>
          <w:tcPr>
            <w:tcW w:w="900" w:type="dxa"/>
            <w:noWrap/>
            <w:vAlign w:val="center"/>
          </w:tcPr>
          <w:p w14:paraId="202DD4FC">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195094A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43637A9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5A64093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4AC17810">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3FC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550" w:type="dxa"/>
            <w:vMerge w:val="continue"/>
            <w:vAlign w:val="center"/>
          </w:tcPr>
          <w:p w14:paraId="43E7A39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287AA0A8">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数智业态</w:t>
            </w:r>
          </w:p>
        </w:tc>
        <w:tc>
          <w:tcPr>
            <w:tcW w:w="8432" w:type="dxa"/>
            <w:vAlign w:val="center"/>
          </w:tcPr>
          <w:p w14:paraId="0372229A">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3" w:name="_Hlk203030620"/>
            <w:r>
              <w:rPr>
                <w:rFonts w:ascii="Times New Roman" w:hAnsi="Times New Roman" w:eastAsia="仿宋" w:cs="Times New Roman"/>
                <w:color w:val="000000"/>
                <w:sz w:val="24"/>
              </w:rPr>
              <w:t>新一代信息技术在基础设施、核心业务、组织体系、合作生态等方面的渗透应用水平，以及由此带动的经营方式和运作形态的升级情况。</w:t>
            </w:r>
            <w:bookmarkEnd w:id="3"/>
          </w:p>
        </w:tc>
        <w:tc>
          <w:tcPr>
            <w:tcW w:w="900" w:type="dxa"/>
            <w:noWrap/>
            <w:vAlign w:val="center"/>
          </w:tcPr>
          <w:p w14:paraId="4CA6320E">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1EDB2133">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57955A6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17B9CFBA">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4E62CFC9">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136E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550" w:type="dxa"/>
            <w:vMerge w:val="continue"/>
            <w:vAlign w:val="center"/>
          </w:tcPr>
          <w:p w14:paraId="4C4EAE1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01793433">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新兴业态</w:t>
            </w:r>
          </w:p>
        </w:tc>
        <w:tc>
          <w:tcPr>
            <w:tcW w:w="8432" w:type="dxa"/>
            <w:vAlign w:val="center"/>
          </w:tcPr>
          <w:p w14:paraId="21D4307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4" w:name="_Hlk203030630"/>
            <w:r>
              <w:rPr>
                <w:rFonts w:ascii="Times New Roman" w:hAnsi="Times New Roman" w:eastAsia="仿宋" w:cs="Times New Roman"/>
                <w:color w:val="000000"/>
                <w:sz w:val="24"/>
              </w:rPr>
              <w:t>以制造先进精准、服务丰富优质、流程灵活高效、模式互惠多元为导向，在经营方式和运作形态方面产生的新路径、新突破、新变革。</w:t>
            </w:r>
            <w:bookmarkEnd w:id="4"/>
          </w:p>
        </w:tc>
        <w:tc>
          <w:tcPr>
            <w:tcW w:w="900" w:type="dxa"/>
            <w:noWrap/>
            <w:vAlign w:val="center"/>
          </w:tcPr>
          <w:p w14:paraId="645417F3">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0927BF0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54D72C94">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5DD611D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78774A68">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2CEC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50" w:type="dxa"/>
            <w:vMerge w:val="restart"/>
            <w:noWrap/>
            <w:vAlign w:val="center"/>
          </w:tcPr>
          <w:p w14:paraId="0D90EC3B">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估值潜质</w:t>
            </w:r>
          </w:p>
          <w:p w14:paraId="0BC35539">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（15分）</w:t>
            </w:r>
          </w:p>
        </w:tc>
        <w:tc>
          <w:tcPr>
            <w:tcW w:w="1815" w:type="dxa"/>
            <w:vAlign w:val="center"/>
          </w:tcPr>
          <w:p w14:paraId="5FA9319D">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战略潜质</w:t>
            </w:r>
          </w:p>
        </w:tc>
        <w:tc>
          <w:tcPr>
            <w:tcW w:w="8432" w:type="dxa"/>
            <w:vAlign w:val="center"/>
          </w:tcPr>
          <w:p w14:paraId="78E13FE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5" w:name="_Hlk203030686"/>
            <w:r>
              <w:rPr>
                <w:rFonts w:ascii="Times New Roman" w:hAnsi="Times New Roman" w:eastAsia="仿宋" w:cs="Times New Roman"/>
                <w:color w:val="000000"/>
                <w:sz w:val="24"/>
              </w:rPr>
              <w:t>与推动科技创新和产业创新融合，实现高水平科技自立自强，因地制宜发展新质生产力等国家重大战略的契合程度，以及贯彻落实水平。</w:t>
            </w:r>
            <w:bookmarkEnd w:id="5"/>
          </w:p>
        </w:tc>
        <w:tc>
          <w:tcPr>
            <w:tcW w:w="900" w:type="dxa"/>
            <w:noWrap/>
            <w:vAlign w:val="center"/>
          </w:tcPr>
          <w:p w14:paraId="745E7CE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67E9A179">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08E481C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4153EC43">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4B9BA3E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3DDB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550" w:type="dxa"/>
            <w:vMerge w:val="continue"/>
            <w:vAlign w:val="center"/>
          </w:tcPr>
          <w:p w14:paraId="0A59F587">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382CF6A3">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行业潜质</w:t>
            </w:r>
          </w:p>
        </w:tc>
        <w:tc>
          <w:tcPr>
            <w:tcW w:w="8432" w:type="dxa"/>
            <w:vAlign w:val="center"/>
          </w:tcPr>
          <w:p w14:paraId="2FFEA6B4">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6" w:name="_Hlk203030695"/>
            <w:r>
              <w:rPr>
                <w:rFonts w:ascii="Times New Roman" w:hAnsi="Times New Roman" w:eastAsia="仿宋" w:cs="Times New Roman"/>
                <w:color w:val="000000"/>
                <w:sz w:val="24"/>
              </w:rPr>
              <w:t>本行业、本领域在当前所处的产业发展周期对估值水平的影响，以及企业自身在本行业、本领域所处环节和地位的重要程度。</w:t>
            </w:r>
            <w:bookmarkEnd w:id="6"/>
          </w:p>
        </w:tc>
        <w:tc>
          <w:tcPr>
            <w:tcW w:w="900" w:type="dxa"/>
            <w:noWrap/>
            <w:vAlign w:val="center"/>
          </w:tcPr>
          <w:p w14:paraId="574E18E9">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6A1E9475">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32324956">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4E34333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439ECAE8">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670A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50" w:type="dxa"/>
            <w:vMerge w:val="continue"/>
            <w:vAlign w:val="center"/>
          </w:tcPr>
          <w:p w14:paraId="171BE5DE">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p>
        </w:tc>
        <w:tc>
          <w:tcPr>
            <w:tcW w:w="1815" w:type="dxa"/>
            <w:vAlign w:val="center"/>
          </w:tcPr>
          <w:p w14:paraId="244E21C9">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竞争潜质</w:t>
            </w:r>
          </w:p>
        </w:tc>
        <w:tc>
          <w:tcPr>
            <w:tcW w:w="8432" w:type="dxa"/>
            <w:vAlign w:val="center"/>
          </w:tcPr>
          <w:p w14:paraId="6472CEF8">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bookmarkStart w:id="7" w:name="_Hlk203030705"/>
            <w:r>
              <w:rPr>
                <w:rFonts w:ascii="Times New Roman" w:hAnsi="Times New Roman" w:eastAsia="仿宋" w:cs="Times New Roman"/>
                <w:color w:val="000000"/>
                <w:sz w:val="24"/>
              </w:rPr>
              <w:t>与同类型企业相比，在专利、品牌、人才、盈利等影响估值的关键因素方面展现出的核心竞争力和差异化竞争优势。</w:t>
            </w:r>
            <w:bookmarkEnd w:id="7"/>
          </w:p>
        </w:tc>
        <w:tc>
          <w:tcPr>
            <w:tcW w:w="900" w:type="dxa"/>
            <w:noWrap/>
            <w:vAlign w:val="center"/>
          </w:tcPr>
          <w:p w14:paraId="237AEDB7">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5</w:t>
            </w:r>
          </w:p>
        </w:tc>
        <w:tc>
          <w:tcPr>
            <w:tcW w:w="2348" w:type="dxa"/>
            <w:vAlign w:val="center"/>
          </w:tcPr>
          <w:p w14:paraId="3DFE555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优秀：4-5</w:t>
            </w:r>
          </w:p>
          <w:p w14:paraId="611D4FA9">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3C85EAC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788D7D3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r w14:paraId="2813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50" w:type="dxa"/>
            <w:vMerge w:val="restart"/>
            <w:vAlign w:val="center"/>
          </w:tcPr>
          <w:p w14:paraId="0E75A984">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财务评价</w:t>
            </w:r>
          </w:p>
          <w:p w14:paraId="52F4E273">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楷体" w:cs="Times New Roman"/>
                <w:b/>
                <w:bCs/>
                <w:color w:val="000000"/>
                <w:sz w:val="24"/>
              </w:rPr>
            </w:pPr>
            <w:r>
              <w:rPr>
                <w:rFonts w:ascii="Times New Roman" w:hAnsi="Times New Roman" w:eastAsia="楷体" w:cs="Times New Roman"/>
                <w:b/>
                <w:bCs/>
                <w:color w:val="000000"/>
                <w:sz w:val="24"/>
              </w:rPr>
              <w:t>（20分）</w:t>
            </w:r>
          </w:p>
        </w:tc>
        <w:tc>
          <w:tcPr>
            <w:tcW w:w="1815" w:type="dxa"/>
            <w:vAlign w:val="center"/>
          </w:tcPr>
          <w:p w14:paraId="17A04A2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稳定性</w:t>
            </w:r>
          </w:p>
        </w:tc>
        <w:tc>
          <w:tcPr>
            <w:tcW w:w="8432" w:type="dxa"/>
            <w:vAlign w:val="center"/>
          </w:tcPr>
          <w:p w14:paraId="7B492449">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对各项关键财务指标真实性、合理性和勾稽关系的判断。</w:t>
            </w:r>
          </w:p>
        </w:tc>
        <w:tc>
          <w:tcPr>
            <w:tcW w:w="900" w:type="dxa"/>
            <w:noWrap/>
            <w:vAlign w:val="center"/>
          </w:tcPr>
          <w:p w14:paraId="40020339">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2348" w:type="dxa"/>
            <w:vAlign w:val="center"/>
          </w:tcPr>
          <w:p w14:paraId="2842818B">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优秀：8</w:t>
            </w:r>
          </w:p>
          <w:p w14:paraId="1A707130">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良好：6-7</w:t>
            </w:r>
          </w:p>
          <w:p w14:paraId="66B3010C">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一般：3-5</w:t>
            </w:r>
          </w:p>
          <w:p w14:paraId="7C3C158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较差：1-2</w:t>
            </w:r>
          </w:p>
        </w:tc>
      </w:tr>
      <w:tr w14:paraId="4015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50" w:type="dxa"/>
            <w:vMerge w:val="continue"/>
            <w:vAlign w:val="center"/>
          </w:tcPr>
          <w:p w14:paraId="1AC00E3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color w:val="000000"/>
                <w:sz w:val="24"/>
              </w:rPr>
            </w:pPr>
          </w:p>
        </w:tc>
        <w:tc>
          <w:tcPr>
            <w:tcW w:w="1815" w:type="dxa"/>
            <w:vAlign w:val="center"/>
          </w:tcPr>
          <w:p w14:paraId="54EDC525">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持续性</w:t>
            </w:r>
          </w:p>
        </w:tc>
        <w:tc>
          <w:tcPr>
            <w:tcW w:w="8432" w:type="dxa"/>
            <w:vAlign w:val="center"/>
          </w:tcPr>
          <w:p w14:paraId="40B0F7A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对未来3-5年能够持续投入主营业务和主要项目的判断。</w:t>
            </w:r>
          </w:p>
        </w:tc>
        <w:tc>
          <w:tcPr>
            <w:tcW w:w="900" w:type="dxa"/>
            <w:noWrap/>
            <w:vAlign w:val="center"/>
          </w:tcPr>
          <w:p w14:paraId="6018B780">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8</w:t>
            </w:r>
          </w:p>
        </w:tc>
        <w:tc>
          <w:tcPr>
            <w:tcW w:w="2348" w:type="dxa"/>
            <w:vAlign w:val="center"/>
          </w:tcPr>
          <w:p w14:paraId="2F448570">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优秀：8</w:t>
            </w:r>
          </w:p>
          <w:p w14:paraId="72BFEEA7">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良好：6-7</w:t>
            </w:r>
          </w:p>
          <w:p w14:paraId="48337C1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一般：3-5</w:t>
            </w:r>
          </w:p>
          <w:p w14:paraId="7A2D8A0C">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较差：1-2</w:t>
            </w:r>
          </w:p>
        </w:tc>
      </w:tr>
      <w:tr w14:paraId="0568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550" w:type="dxa"/>
            <w:vMerge w:val="continue"/>
            <w:vAlign w:val="center"/>
          </w:tcPr>
          <w:p w14:paraId="25D52BD2">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bCs/>
                <w:color w:val="000000"/>
                <w:sz w:val="24"/>
              </w:rPr>
            </w:pPr>
          </w:p>
        </w:tc>
        <w:tc>
          <w:tcPr>
            <w:tcW w:w="1815" w:type="dxa"/>
            <w:vAlign w:val="center"/>
          </w:tcPr>
          <w:p w14:paraId="7DFEE044">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b/>
                <w:bCs/>
                <w:color w:val="000000"/>
                <w:sz w:val="24"/>
              </w:rPr>
            </w:pPr>
            <w:r>
              <w:rPr>
                <w:rFonts w:ascii="Times New Roman" w:hAnsi="Times New Roman" w:eastAsia="仿宋" w:cs="Times New Roman"/>
                <w:b/>
                <w:bCs/>
                <w:color w:val="000000"/>
                <w:sz w:val="24"/>
              </w:rPr>
              <w:t>盈利性</w:t>
            </w:r>
          </w:p>
        </w:tc>
        <w:tc>
          <w:tcPr>
            <w:tcW w:w="8432" w:type="dxa"/>
            <w:vAlign w:val="center"/>
          </w:tcPr>
          <w:p w14:paraId="35EE8DC2">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对当前阶段盈利水平的评价，以及对中长期盈利水平和投资回报率的判断。</w:t>
            </w:r>
          </w:p>
        </w:tc>
        <w:tc>
          <w:tcPr>
            <w:tcW w:w="900" w:type="dxa"/>
            <w:noWrap/>
            <w:vAlign w:val="center"/>
          </w:tcPr>
          <w:p w14:paraId="1BC12B76">
            <w:pPr>
              <w:keepNext w:val="0"/>
              <w:keepLines w:val="0"/>
              <w:pageBreakBefore w:val="0"/>
              <w:kinsoku/>
              <w:wordWrap/>
              <w:overflowPunct/>
              <w:topLinePunct w:val="0"/>
              <w:autoSpaceDE/>
              <w:autoSpaceDN/>
              <w:bidi w:val="0"/>
              <w:adjustRightInd w:val="0"/>
              <w:snapToGrid w:val="0"/>
              <w:jc w:val="center"/>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4</w:t>
            </w:r>
          </w:p>
        </w:tc>
        <w:tc>
          <w:tcPr>
            <w:tcW w:w="2348" w:type="dxa"/>
            <w:vAlign w:val="center"/>
          </w:tcPr>
          <w:p w14:paraId="5CAD1B7E">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优秀：4</w:t>
            </w:r>
          </w:p>
          <w:p w14:paraId="78049181">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良好：3</w:t>
            </w:r>
          </w:p>
          <w:p w14:paraId="624EEECF">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一般：2</w:t>
            </w:r>
          </w:p>
          <w:p w14:paraId="092C593D">
            <w:pPr>
              <w:keepNext w:val="0"/>
              <w:keepLines w:val="0"/>
              <w:pageBreakBefore w:val="0"/>
              <w:kinsoku/>
              <w:wordWrap/>
              <w:overflowPunct/>
              <w:topLinePunct w:val="0"/>
              <w:autoSpaceDE/>
              <w:autoSpaceDN/>
              <w:bidi w:val="0"/>
              <w:adjustRightInd w:val="0"/>
              <w:snapToGrid w:val="0"/>
              <w:ind w:firstLine="480" w:firstLineChars="200"/>
              <w:textAlignment w:val="auto"/>
              <w:rPr>
                <w:rFonts w:ascii="Times New Roman" w:hAnsi="Times New Roman" w:eastAsia="仿宋" w:cs="Times New Roman"/>
                <w:color w:val="000000"/>
                <w:sz w:val="24"/>
              </w:rPr>
            </w:pPr>
            <w:r>
              <w:rPr>
                <w:rFonts w:ascii="Times New Roman" w:hAnsi="Times New Roman" w:eastAsia="仿宋" w:cs="Times New Roman"/>
                <w:color w:val="000000"/>
                <w:sz w:val="24"/>
              </w:rPr>
              <w:t>较差：1</w:t>
            </w:r>
          </w:p>
        </w:tc>
      </w:tr>
    </w:tbl>
    <w:p w14:paraId="590375AC">
      <w:pPr>
        <w:keepNext w:val="0"/>
        <w:keepLines w:val="0"/>
        <w:pageBreakBefore w:val="0"/>
        <w:kinsoku/>
        <w:wordWrap/>
        <w:overflowPunct/>
        <w:topLinePunct w:val="0"/>
        <w:autoSpaceDE/>
        <w:autoSpaceDN/>
        <w:bidi w:val="0"/>
        <w:adjustRightInd w:val="0"/>
        <w:snapToGrid w:val="0"/>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9892C-D02F-4327-BC33-806D1E93B1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450539-037E-43B5-AA4F-6F5122B40A0D}"/>
  </w:font>
  <w:font w:name="方正小标宋简体">
    <w:panose1 w:val="02010600010101010101"/>
    <w:charset w:val="86"/>
    <w:family w:val="script"/>
    <w:pitch w:val="default"/>
    <w:sig w:usb0="00000001" w:usb1="080E0000" w:usb2="00000000" w:usb3="00000000" w:csb0="00040000" w:csb1="00000000"/>
    <w:embedRegular r:id="rId3" w:fontKey="{C10A683D-D09C-46A3-A4E0-895D2704AE64}"/>
  </w:font>
  <w:font w:name="楷体">
    <w:panose1 w:val="02010609060101010101"/>
    <w:charset w:val="86"/>
    <w:family w:val="modern"/>
    <w:pitch w:val="default"/>
    <w:sig w:usb0="800002BF" w:usb1="38CF7CFA" w:usb2="00000016" w:usb3="00000000" w:csb0="00040001" w:csb1="00000000"/>
    <w:embedRegular r:id="rId4" w:fontKey="{39C62B9A-8800-47BA-93EF-872B5AEEED70}"/>
  </w:font>
  <w:font w:name="仿宋">
    <w:panose1 w:val="02010609060101010101"/>
    <w:charset w:val="86"/>
    <w:family w:val="modern"/>
    <w:pitch w:val="default"/>
    <w:sig w:usb0="800002BF" w:usb1="38CF7CFA" w:usb2="00000016" w:usb3="00000000" w:csb0="00040001" w:csb1="00000000"/>
    <w:embedRegular r:id="rId5" w:fontKey="{34FCF1C9-7996-4DC7-89B6-AFC96F7BD637}"/>
  </w:font>
  <w:font w:name="仿宋_GB2312">
    <w:altName w:val="仿宋"/>
    <w:panose1 w:val="02010609030101010101"/>
    <w:charset w:val="86"/>
    <w:family w:val="modern"/>
    <w:pitch w:val="default"/>
    <w:sig w:usb0="00000000" w:usb1="00000000" w:usb2="00000000" w:usb3="00000000" w:csb0="00040000" w:csb1="00000000"/>
    <w:embedRegular r:id="rId6" w:fontKey="{42AA085D-4068-486F-9E04-BFB07107EA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64683"/>
    <w:rsid w:val="22E6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1489</Words>
  <Characters>1616</Characters>
  <Lines>0</Lines>
  <Paragraphs>0</Paragraphs>
  <TotalTime>15</TotalTime>
  <ScaleCrop>false</ScaleCrop>
  <LinksUpToDate>false</LinksUpToDate>
  <CharactersWithSpaces>1617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2025-09-04T03:33:00Z</dcterms:created>
  <dc:creator>✨Cindy</dc:creator>
  <cp:lastModifiedBy>✨Cindy</cp:lastModifiedBy>
  <dcterms:modified xsi:type="dcterms:W3CDTF">2025-09-04T03:48:31Z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6F195D7B0CF44DBA8A4A40FD15468ABE_11</vt:lpwstr>
  </property>
  <property fmtid="{D5CDD505-2E9C-101B-9397-08002B2CF9AE}" pid="4" name="KSOTemplateDocerSaveRecord">
    <vt:lpwstr>eyJoZGlkIjoiZmQ4MTI5NzgzZWFlYjNmYjY0YWM0NGZhMWFiMzcxOTAiLCJ1c2VySWQiOiIxOTQ4NjgxNjEifQ==</vt:lpwstr>
  </property>
</Properties>
</file>